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C7B9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80AF2EC">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AE6A1DF">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93.080 </w:t>
            </w:r>
            <w:r>
              <w:rPr>
                <w:rFonts w:ascii="黑体" w:hAnsi="黑体" w:eastAsia="黑体"/>
                <w:sz w:val="21"/>
                <w:szCs w:val="21"/>
              </w:rPr>
              <w:fldChar w:fldCharType="end"/>
            </w:r>
            <w:bookmarkEnd w:id="0"/>
          </w:p>
        </w:tc>
      </w:tr>
      <w:tr w14:paraId="722C6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19BCC4E">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0C50D48">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R 18     </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5CE7DC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14:paraId="7B24C1F7">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14:paraId="67BBF564">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66B6E262">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43DCB2A9">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代替 DB XX/T</w:t>
      </w:r>
      <w:r>
        <w:rPr>
          <w:rFonts w:hAnsi="黑体"/>
        </w:rPr>
        <w:fldChar w:fldCharType="end"/>
      </w:r>
      <w:bookmarkEnd w:id="8"/>
    </w:p>
    <w:p w14:paraId="4A2FBEF7">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545E5D2">
      <w:pPr>
        <w:pStyle w:val="50"/>
        <w:framePr w:w="9639" w:h="6976" w:hRule="exact" w:hSpace="0" w:vSpace="0" w:wrap="around" w:hAnchor="page" w:y="6408"/>
        <w:jc w:val="center"/>
        <w:rPr>
          <w:rFonts w:ascii="黑体" w:hAnsi="黑体" w:eastAsia="黑体"/>
          <w:b w:val="0"/>
          <w:bCs w:val="0"/>
          <w:w w:val="100"/>
        </w:rPr>
      </w:pPr>
    </w:p>
    <w:p w14:paraId="0BDBAC33">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高速公路沥青路面养护指南  第 2 部分：养护设计导则</w:t>
      </w:r>
      <w:r>
        <w:fldChar w:fldCharType="end"/>
      </w:r>
      <w:bookmarkEnd w:id="9"/>
    </w:p>
    <w:p w14:paraId="4EB7E98F">
      <w:pPr>
        <w:framePr w:w="9639" w:h="6974" w:hRule="exact" w:wrap="around" w:vAnchor="page" w:hAnchor="page" w:x="1419" w:y="6408" w:anchorLock="1"/>
        <w:ind w:left="-1418"/>
      </w:pPr>
    </w:p>
    <w:p w14:paraId="696EFB83">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xml:space="preserve">Highway Asphalt Pavement Maintenance Guide Part2:Guidelines for </w:t>
      </w:r>
    </w:p>
    <w:p w14:paraId="7B045F0E">
      <w:pPr>
        <w:pStyle w:val="125"/>
        <w:framePr w:w="9639" w:h="6974" w:hRule="exact" w:wrap="around" w:vAnchor="page" w:hAnchor="page" w:x="1419" w:y="6408" w:anchorLock="1"/>
        <w:textAlignment w:val="bottom"/>
        <w:rPr>
          <w:rFonts w:eastAsia="黑体"/>
          <w:szCs w:val="28"/>
        </w:rPr>
      </w:pPr>
      <w:r>
        <w:rPr>
          <w:rFonts w:eastAsia="黑体"/>
          <w:szCs w:val="28"/>
        </w:rPr>
        <w:t>Design of Maintenance</w:t>
      </w:r>
      <w:r>
        <w:rPr>
          <w:rFonts w:eastAsia="黑体"/>
          <w:szCs w:val="28"/>
        </w:rPr>
        <w:fldChar w:fldCharType="end"/>
      </w:r>
      <w:bookmarkEnd w:id="10"/>
    </w:p>
    <w:p w14:paraId="537451AB">
      <w:pPr>
        <w:framePr w:w="9639" w:h="6974" w:hRule="exact" w:wrap="around" w:vAnchor="page" w:hAnchor="page" w:x="1419" w:y="6408" w:anchorLock="1"/>
        <w:spacing w:line="760" w:lineRule="exact"/>
        <w:ind w:left="-1418"/>
      </w:pPr>
    </w:p>
    <w:p w14:paraId="1FB9E9E3">
      <w:pPr>
        <w:pStyle w:val="125"/>
        <w:framePr w:w="9639" w:h="6974" w:hRule="exact" w:wrap="around" w:vAnchor="page" w:hAnchor="page" w:x="1419" w:y="6408" w:anchorLock="1"/>
        <w:textAlignment w:val="bottom"/>
        <w:rPr>
          <w:rFonts w:eastAsia="黑体"/>
          <w:szCs w:val="28"/>
        </w:rPr>
      </w:pPr>
    </w:p>
    <w:p w14:paraId="6BB8C1E2">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637B2440">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6C5D6E41">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57BC95E0">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1F6BC00">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CCA5B04">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70564310">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B04E569">
      <w:pPr>
        <w:pStyle w:val="91"/>
        <w:spacing w:after="468"/>
      </w:pPr>
      <w:bookmarkStart w:id="21" w:name="BookMark1"/>
      <w:r>
        <w:rPr>
          <w:rFonts w:hint="eastAsia"/>
          <w:spacing w:val="320"/>
        </w:rPr>
        <w:t>目</w:t>
      </w:r>
      <w:r>
        <w:rPr>
          <w:rFonts w:hint="eastAsia"/>
        </w:rPr>
        <w:t>次</w:t>
      </w:r>
    </w:p>
    <w:p w14:paraId="1584B5C7">
      <w:pPr>
        <w:pStyle w:val="19"/>
        <w:tabs>
          <w:tab w:val="right" w:leader="dot" w:pos="9344"/>
        </w:tabs>
        <w:spacing w:line="360" w:lineRule="auto"/>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"_Toc180078167" </w:instrText>
      </w:r>
      <w:r>
        <w:fldChar w:fldCharType="separate"/>
      </w:r>
      <w:r>
        <w:rPr>
          <w:rStyle w:val="32"/>
          <w:spacing w:val="320"/>
        </w:rPr>
        <w:t>前</w:t>
      </w:r>
      <w:r>
        <w:rPr>
          <w:rStyle w:val="32"/>
        </w:rPr>
        <w:t>言</w:t>
      </w:r>
      <w:r>
        <w:tab/>
      </w:r>
      <w:r>
        <w:fldChar w:fldCharType="begin"/>
      </w:r>
      <w:r>
        <w:instrText xml:space="preserve"> PAGEREF _Toc180078167 \h </w:instrText>
      </w:r>
      <w:r>
        <w:fldChar w:fldCharType="separate"/>
      </w:r>
      <w:r>
        <w:t>II</w:t>
      </w:r>
      <w:r>
        <w:fldChar w:fldCharType="end"/>
      </w:r>
      <w:r>
        <w:fldChar w:fldCharType="end"/>
      </w:r>
    </w:p>
    <w:p w14:paraId="11875F20">
      <w:pPr>
        <w:pStyle w:val="19"/>
        <w:tabs>
          <w:tab w:val="right" w:leader="dot" w:pos="9344"/>
        </w:tabs>
        <w:spacing w:line="360" w:lineRule="auto"/>
        <w:rPr>
          <w:rFonts w:asciiTheme="minorHAnsi" w:hAnsiTheme="minorHAnsi" w:eastAsiaTheme="minorEastAsia" w:cstheme="minorBidi"/>
          <w:szCs w:val="22"/>
        </w:rPr>
      </w:pPr>
      <w:r>
        <w:fldChar w:fldCharType="begin"/>
      </w:r>
      <w:r>
        <w:instrText xml:space="preserve"> HYPERLINK \l "_Toc180078168" </w:instrText>
      </w:r>
      <w:r>
        <w:fldChar w:fldCharType="separate"/>
      </w:r>
      <w:r>
        <w:rPr>
          <w:rStyle w:val="32"/>
        </w:rPr>
        <w:t>1 范围</w:t>
      </w:r>
      <w:r>
        <w:tab/>
      </w:r>
      <w:r>
        <w:fldChar w:fldCharType="begin"/>
      </w:r>
      <w:r>
        <w:instrText xml:space="preserve"> PAGEREF _Toc180078168 \h </w:instrText>
      </w:r>
      <w:r>
        <w:fldChar w:fldCharType="separate"/>
      </w:r>
      <w:r>
        <w:t>1</w:t>
      </w:r>
      <w:r>
        <w:fldChar w:fldCharType="end"/>
      </w:r>
      <w:r>
        <w:fldChar w:fldCharType="end"/>
      </w:r>
    </w:p>
    <w:p w14:paraId="314927DF">
      <w:pPr>
        <w:pStyle w:val="19"/>
        <w:tabs>
          <w:tab w:val="right" w:leader="dot" w:pos="9344"/>
        </w:tabs>
        <w:spacing w:line="360" w:lineRule="auto"/>
        <w:rPr>
          <w:rFonts w:asciiTheme="minorHAnsi" w:hAnsiTheme="minorHAnsi" w:eastAsiaTheme="minorEastAsia" w:cstheme="minorBidi"/>
          <w:szCs w:val="22"/>
        </w:rPr>
      </w:pPr>
      <w:r>
        <w:fldChar w:fldCharType="begin"/>
      </w:r>
      <w:r>
        <w:instrText xml:space="preserve"> HYPERLINK \l "_Toc180078169" </w:instrText>
      </w:r>
      <w:r>
        <w:fldChar w:fldCharType="separate"/>
      </w:r>
      <w:r>
        <w:rPr>
          <w:rStyle w:val="32"/>
        </w:rPr>
        <w:t>2 规范性引用文件</w:t>
      </w:r>
      <w:r>
        <w:tab/>
      </w:r>
      <w:r>
        <w:fldChar w:fldCharType="begin"/>
      </w:r>
      <w:r>
        <w:instrText xml:space="preserve"> PAGEREF _Toc180078169 \h </w:instrText>
      </w:r>
      <w:r>
        <w:fldChar w:fldCharType="separate"/>
      </w:r>
      <w:r>
        <w:t>1</w:t>
      </w:r>
      <w:r>
        <w:fldChar w:fldCharType="end"/>
      </w:r>
      <w:r>
        <w:fldChar w:fldCharType="end"/>
      </w:r>
    </w:p>
    <w:p w14:paraId="2F6AB80A">
      <w:pPr>
        <w:pStyle w:val="19"/>
        <w:tabs>
          <w:tab w:val="right" w:leader="dot" w:pos="9344"/>
        </w:tabs>
        <w:spacing w:line="360" w:lineRule="auto"/>
        <w:rPr>
          <w:rFonts w:asciiTheme="minorHAnsi" w:hAnsiTheme="minorHAnsi" w:eastAsiaTheme="minorEastAsia" w:cstheme="minorBidi"/>
          <w:szCs w:val="22"/>
        </w:rPr>
      </w:pPr>
      <w:r>
        <w:fldChar w:fldCharType="begin"/>
      </w:r>
      <w:r>
        <w:instrText xml:space="preserve"> HYPERLINK \l "_Toc180078170" </w:instrText>
      </w:r>
      <w:r>
        <w:fldChar w:fldCharType="separate"/>
      </w:r>
      <w:r>
        <w:rPr>
          <w:rStyle w:val="32"/>
        </w:rPr>
        <w:t>3 术语和定义</w:t>
      </w:r>
      <w:r>
        <w:tab/>
      </w:r>
      <w:r>
        <w:fldChar w:fldCharType="begin"/>
      </w:r>
      <w:r>
        <w:instrText xml:space="preserve"> PAGEREF _Toc180078170 \h </w:instrText>
      </w:r>
      <w:r>
        <w:fldChar w:fldCharType="separate"/>
      </w:r>
      <w:r>
        <w:t>1</w:t>
      </w:r>
      <w:r>
        <w:fldChar w:fldCharType="end"/>
      </w:r>
      <w:r>
        <w:fldChar w:fldCharType="end"/>
      </w:r>
    </w:p>
    <w:p w14:paraId="241FEA6C">
      <w:pPr>
        <w:pStyle w:val="19"/>
        <w:tabs>
          <w:tab w:val="right" w:leader="dot" w:pos="9344"/>
        </w:tabs>
        <w:spacing w:line="360" w:lineRule="auto"/>
        <w:rPr>
          <w:rFonts w:asciiTheme="minorHAnsi" w:hAnsiTheme="minorHAnsi" w:eastAsiaTheme="minorEastAsia" w:cstheme="minorBidi"/>
          <w:szCs w:val="22"/>
        </w:rPr>
      </w:pPr>
      <w:r>
        <w:fldChar w:fldCharType="begin"/>
      </w:r>
      <w:r>
        <w:instrText xml:space="preserve"> HYPERLINK \l "_Toc180078171" </w:instrText>
      </w:r>
      <w:r>
        <w:fldChar w:fldCharType="separate"/>
      </w:r>
      <w:r>
        <w:rPr>
          <w:rStyle w:val="32"/>
        </w:rPr>
        <w:t>4 符号</w:t>
      </w:r>
      <w:r>
        <w:tab/>
      </w:r>
      <w:r>
        <w:fldChar w:fldCharType="begin"/>
      </w:r>
      <w:r>
        <w:instrText xml:space="preserve"> PAGEREF _Toc180078171 \h </w:instrText>
      </w:r>
      <w:r>
        <w:fldChar w:fldCharType="separate"/>
      </w:r>
      <w:r>
        <w:t>1</w:t>
      </w:r>
      <w:r>
        <w:fldChar w:fldCharType="end"/>
      </w:r>
      <w:r>
        <w:fldChar w:fldCharType="end"/>
      </w:r>
    </w:p>
    <w:p w14:paraId="129EF3CB">
      <w:pPr>
        <w:pStyle w:val="19"/>
        <w:tabs>
          <w:tab w:val="right" w:leader="dot" w:pos="9344"/>
        </w:tabs>
        <w:spacing w:line="360" w:lineRule="auto"/>
        <w:rPr>
          <w:rFonts w:asciiTheme="minorHAnsi" w:hAnsiTheme="minorHAnsi" w:eastAsiaTheme="minorEastAsia" w:cstheme="minorBidi"/>
          <w:szCs w:val="22"/>
        </w:rPr>
      </w:pPr>
      <w:r>
        <w:fldChar w:fldCharType="begin"/>
      </w:r>
      <w:r>
        <w:instrText xml:space="preserve"> HYPERLINK \l "_Toc180078172" </w:instrText>
      </w:r>
      <w:r>
        <w:fldChar w:fldCharType="separate"/>
      </w:r>
      <w:r>
        <w:rPr>
          <w:rStyle w:val="32"/>
        </w:rPr>
        <w:t>5 设计原则</w:t>
      </w:r>
      <w:r>
        <w:tab/>
      </w:r>
      <w:r>
        <w:fldChar w:fldCharType="begin"/>
      </w:r>
      <w:r>
        <w:instrText xml:space="preserve"> PAGEREF _Toc180078172 \h </w:instrText>
      </w:r>
      <w:r>
        <w:fldChar w:fldCharType="separate"/>
      </w:r>
      <w:r>
        <w:t>2</w:t>
      </w:r>
      <w:r>
        <w:fldChar w:fldCharType="end"/>
      </w:r>
      <w:r>
        <w:fldChar w:fldCharType="end"/>
      </w:r>
    </w:p>
    <w:p w14:paraId="0A5C9DBC">
      <w:pPr>
        <w:pStyle w:val="19"/>
        <w:tabs>
          <w:tab w:val="right" w:leader="dot" w:pos="9344"/>
        </w:tabs>
        <w:spacing w:line="360" w:lineRule="auto"/>
        <w:rPr>
          <w:rFonts w:asciiTheme="minorHAnsi" w:hAnsiTheme="minorHAnsi" w:eastAsiaTheme="minorEastAsia" w:cstheme="minorBidi"/>
          <w:szCs w:val="22"/>
        </w:rPr>
      </w:pPr>
      <w:r>
        <w:fldChar w:fldCharType="begin"/>
      </w:r>
      <w:r>
        <w:instrText xml:space="preserve"> HYPERLINK \l "_Toc180078177" </w:instrText>
      </w:r>
      <w:r>
        <w:fldChar w:fldCharType="separate"/>
      </w:r>
      <w:r>
        <w:rPr>
          <w:rStyle w:val="32"/>
        </w:rPr>
        <w:t>6 设计流程</w:t>
      </w:r>
      <w:r>
        <w:tab/>
      </w:r>
      <w:r>
        <w:fldChar w:fldCharType="begin"/>
      </w:r>
      <w:r>
        <w:instrText xml:space="preserve"> PAGEREF _Toc180078177 \h </w:instrText>
      </w:r>
      <w:r>
        <w:fldChar w:fldCharType="separate"/>
      </w:r>
      <w:r>
        <w:t>2</w:t>
      </w:r>
      <w:r>
        <w:fldChar w:fldCharType="end"/>
      </w:r>
      <w:r>
        <w:fldChar w:fldCharType="end"/>
      </w:r>
    </w:p>
    <w:p w14:paraId="7F2BCEA9">
      <w:pPr>
        <w:pStyle w:val="19"/>
        <w:tabs>
          <w:tab w:val="right" w:leader="dot" w:pos="9344"/>
        </w:tabs>
        <w:spacing w:line="360" w:lineRule="auto"/>
        <w:rPr>
          <w:rFonts w:asciiTheme="minorHAnsi" w:hAnsiTheme="minorHAnsi" w:eastAsiaTheme="minorEastAsia" w:cstheme="minorBidi"/>
          <w:szCs w:val="22"/>
        </w:rPr>
      </w:pPr>
      <w:r>
        <w:fldChar w:fldCharType="begin"/>
      </w:r>
      <w:r>
        <w:instrText xml:space="preserve"> HYPERLINK \l "_Toc180078178" </w:instrText>
      </w:r>
      <w:r>
        <w:fldChar w:fldCharType="separate"/>
      </w:r>
      <w:r>
        <w:rPr>
          <w:rStyle w:val="32"/>
        </w:rPr>
        <w:t>7 基础资料收集</w:t>
      </w:r>
      <w:r>
        <w:tab/>
      </w:r>
      <w:r>
        <w:fldChar w:fldCharType="begin"/>
      </w:r>
      <w:r>
        <w:instrText xml:space="preserve"> PAGEREF _Toc180078178 \h </w:instrText>
      </w:r>
      <w:r>
        <w:fldChar w:fldCharType="separate"/>
      </w:r>
      <w:r>
        <w:t>3</w:t>
      </w:r>
      <w:r>
        <w:fldChar w:fldCharType="end"/>
      </w:r>
      <w:r>
        <w:fldChar w:fldCharType="end"/>
      </w:r>
    </w:p>
    <w:p w14:paraId="3036CC95">
      <w:pPr>
        <w:pStyle w:val="19"/>
        <w:tabs>
          <w:tab w:val="right" w:leader="dot" w:pos="9344"/>
        </w:tabs>
        <w:spacing w:line="360" w:lineRule="auto"/>
        <w:rPr>
          <w:rFonts w:asciiTheme="minorHAnsi" w:hAnsiTheme="minorHAnsi" w:eastAsiaTheme="minorEastAsia" w:cstheme="minorBidi"/>
          <w:szCs w:val="22"/>
        </w:rPr>
      </w:pPr>
      <w:r>
        <w:fldChar w:fldCharType="begin"/>
      </w:r>
      <w:r>
        <w:instrText xml:space="preserve"> HYPERLINK \l "_Toc180078182" </w:instrText>
      </w:r>
      <w:r>
        <w:fldChar w:fldCharType="separate"/>
      </w:r>
      <w:r>
        <w:rPr>
          <w:rStyle w:val="32"/>
          <w:rFonts w:hAnsi="黑体" w:cs="黑体"/>
        </w:rPr>
        <w:t>8 路面状况分析与养护路段筛选</w:t>
      </w:r>
      <w:r>
        <w:tab/>
      </w:r>
      <w:r>
        <w:fldChar w:fldCharType="begin"/>
      </w:r>
      <w:r>
        <w:instrText xml:space="preserve"> PAGEREF _Toc180078182 \h </w:instrText>
      </w:r>
      <w:r>
        <w:fldChar w:fldCharType="separate"/>
      </w:r>
      <w:r>
        <w:t>4</w:t>
      </w:r>
      <w:r>
        <w:fldChar w:fldCharType="end"/>
      </w:r>
      <w:r>
        <w:fldChar w:fldCharType="end"/>
      </w:r>
    </w:p>
    <w:p w14:paraId="0DEAD9BD">
      <w:pPr>
        <w:pStyle w:val="19"/>
        <w:tabs>
          <w:tab w:val="right" w:leader="dot" w:pos="9344"/>
        </w:tabs>
        <w:spacing w:line="360" w:lineRule="auto"/>
        <w:rPr>
          <w:rFonts w:asciiTheme="minorHAnsi" w:hAnsiTheme="minorHAnsi" w:eastAsiaTheme="minorEastAsia" w:cstheme="minorBidi"/>
          <w:szCs w:val="22"/>
        </w:rPr>
      </w:pPr>
      <w:r>
        <w:fldChar w:fldCharType="begin"/>
      </w:r>
      <w:r>
        <w:instrText xml:space="preserve"> HYPERLINK \l "_Toc180078185" </w:instrText>
      </w:r>
      <w:r>
        <w:fldChar w:fldCharType="separate"/>
      </w:r>
      <w:r>
        <w:rPr>
          <w:rStyle w:val="32"/>
          <w:rFonts w:hAnsi="黑体" w:cs="黑体"/>
        </w:rPr>
        <w:t>9 病害专项检测</w:t>
      </w:r>
      <w:r>
        <w:tab/>
      </w:r>
      <w:r>
        <w:fldChar w:fldCharType="begin"/>
      </w:r>
      <w:r>
        <w:instrText xml:space="preserve"> PAGEREF _Toc180078185 \h </w:instrText>
      </w:r>
      <w:r>
        <w:fldChar w:fldCharType="separate"/>
      </w:r>
      <w:r>
        <w:t>5</w:t>
      </w:r>
      <w:r>
        <w:fldChar w:fldCharType="end"/>
      </w:r>
      <w:r>
        <w:fldChar w:fldCharType="end"/>
      </w:r>
    </w:p>
    <w:p w14:paraId="4899CBC9">
      <w:pPr>
        <w:pStyle w:val="19"/>
        <w:tabs>
          <w:tab w:val="left" w:pos="629"/>
          <w:tab w:val="right" w:leader="dot" w:pos="9344"/>
        </w:tabs>
        <w:spacing w:line="360" w:lineRule="auto"/>
        <w:rPr>
          <w:rFonts w:asciiTheme="minorHAnsi" w:hAnsiTheme="minorHAnsi" w:eastAsiaTheme="minorEastAsia" w:cstheme="minorBidi"/>
          <w:szCs w:val="22"/>
        </w:rPr>
      </w:pPr>
      <w:r>
        <w:fldChar w:fldCharType="begin"/>
      </w:r>
      <w:r>
        <w:instrText xml:space="preserve"> HYPERLINK \l "_Toc180078189" </w:instrText>
      </w:r>
      <w:r>
        <w:fldChar w:fldCharType="separate"/>
      </w:r>
      <w:r>
        <w:rPr>
          <w:rStyle w:val="32"/>
          <w:rFonts w:hAnsi="黑体" w:cs="黑体"/>
        </w:rPr>
        <w:t>10</w:t>
      </w:r>
      <w:r>
        <w:rPr>
          <w:rStyle w:val="32"/>
          <w:rFonts w:hint="eastAsia" w:hAnsi="黑体" w:cs="黑体"/>
          <w:lang w:val="en-US" w:eastAsia="zh-CN"/>
        </w:rPr>
        <w:t xml:space="preserve"> </w:t>
      </w:r>
      <w:r>
        <w:rPr>
          <w:rStyle w:val="32"/>
          <w:rFonts w:hAnsi="黑体" w:cs="黑体"/>
          <w:spacing w:val="-1"/>
        </w:rPr>
        <w:t>养</w:t>
      </w:r>
      <w:r>
        <w:rPr>
          <w:rStyle w:val="32"/>
          <w:rFonts w:hAnsi="黑体" w:cs="黑体"/>
        </w:rPr>
        <w:t>护设计</w:t>
      </w:r>
      <w:r>
        <w:tab/>
      </w:r>
      <w:r>
        <w:fldChar w:fldCharType="begin"/>
      </w:r>
      <w:r>
        <w:instrText xml:space="preserve"> PAGEREF _Toc180078189 \h </w:instrText>
      </w:r>
      <w:r>
        <w:fldChar w:fldCharType="separate"/>
      </w:r>
      <w:r>
        <w:t>6</w:t>
      </w:r>
      <w:r>
        <w:fldChar w:fldCharType="end"/>
      </w:r>
      <w:r>
        <w:fldChar w:fldCharType="end"/>
      </w:r>
    </w:p>
    <w:p w14:paraId="006DD4FC">
      <w:pPr>
        <w:pStyle w:val="19"/>
        <w:tabs>
          <w:tab w:val="right" w:leader="dot" w:pos="9344"/>
        </w:tabs>
        <w:spacing w:line="360" w:lineRule="auto"/>
        <w:rPr>
          <w:rFonts w:asciiTheme="minorHAnsi" w:hAnsiTheme="minorHAnsi" w:eastAsiaTheme="minorEastAsia" w:cstheme="minorBidi"/>
          <w:szCs w:val="22"/>
        </w:rPr>
      </w:pPr>
      <w:r>
        <w:fldChar w:fldCharType="begin"/>
      </w:r>
      <w:r>
        <w:instrText xml:space="preserve"> HYPERLINK \l "_Toc180078192" </w:instrText>
      </w:r>
      <w:r>
        <w:fldChar w:fldCharType="separate"/>
      </w:r>
      <w:r>
        <w:rPr>
          <w:rStyle w:val="32"/>
          <w:spacing w:val="100"/>
        </w:rPr>
        <w:t>附录A</w:t>
      </w:r>
      <w:r>
        <w:rPr>
          <w:rStyle w:val="32"/>
        </w:rPr>
        <w:t xml:space="preserve"> （资料性） 方案设计文件组成</w:t>
      </w:r>
      <w:r>
        <w:tab/>
      </w:r>
      <w:r>
        <w:fldChar w:fldCharType="begin"/>
      </w:r>
      <w:r>
        <w:instrText xml:space="preserve"> PAGEREF _Toc180078192 \h </w:instrText>
      </w:r>
      <w:r>
        <w:fldChar w:fldCharType="separate"/>
      </w:r>
      <w:r>
        <w:t>10</w:t>
      </w:r>
      <w:r>
        <w:fldChar w:fldCharType="end"/>
      </w:r>
      <w:r>
        <w:fldChar w:fldCharType="end"/>
      </w:r>
    </w:p>
    <w:p w14:paraId="5C273FD8">
      <w:pPr>
        <w:pStyle w:val="19"/>
        <w:tabs>
          <w:tab w:val="right" w:leader="dot" w:pos="9344"/>
        </w:tabs>
        <w:spacing w:line="360" w:lineRule="auto"/>
        <w:rPr>
          <w:rFonts w:asciiTheme="minorHAnsi" w:hAnsiTheme="minorHAnsi" w:eastAsiaTheme="minorEastAsia" w:cstheme="minorBidi"/>
          <w:szCs w:val="22"/>
        </w:rPr>
      </w:pPr>
      <w:r>
        <w:fldChar w:fldCharType="begin"/>
      </w:r>
      <w:r>
        <w:instrText xml:space="preserve"> HYPERLINK \l "_Toc180078196" </w:instrText>
      </w:r>
      <w:r>
        <w:fldChar w:fldCharType="separate"/>
      </w:r>
      <w:r>
        <w:rPr>
          <w:rStyle w:val="32"/>
          <w:spacing w:val="100"/>
        </w:rPr>
        <w:t>附录B</w:t>
      </w:r>
      <w:r>
        <w:rPr>
          <w:rStyle w:val="32"/>
        </w:rPr>
        <w:t xml:space="preserve"> （资料性） 施工图设计文件组成</w:t>
      </w:r>
      <w:r>
        <w:tab/>
      </w:r>
      <w:r>
        <w:fldChar w:fldCharType="begin"/>
      </w:r>
      <w:r>
        <w:instrText xml:space="preserve"> PAGEREF _Toc180078196 \h </w:instrText>
      </w:r>
      <w:r>
        <w:fldChar w:fldCharType="separate"/>
      </w:r>
      <w:r>
        <w:t>11</w:t>
      </w:r>
      <w:r>
        <w:fldChar w:fldCharType="end"/>
      </w:r>
      <w:r>
        <w:fldChar w:fldCharType="end"/>
      </w:r>
    </w:p>
    <w:p w14:paraId="5E331780">
      <w:pPr>
        <w:pStyle w:val="91"/>
        <w:spacing w:after="468" w:line="360" w:lineRule="auto"/>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53B28148">
      <w:pPr>
        <w:pStyle w:val="89"/>
        <w:numPr>
          <w:ilvl w:val="0"/>
          <w:numId w:val="0"/>
        </w:numPr>
        <w:spacing w:after="468"/>
        <w:ind w:left="425"/>
      </w:pPr>
      <w:bookmarkStart w:id="22" w:name="_Toc180078167"/>
      <w:bookmarkStart w:id="23" w:name="BookMark2"/>
      <w:r>
        <w:rPr>
          <w:spacing w:val="320"/>
        </w:rPr>
        <w:t>前</w:t>
      </w:r>
      <w:r>
        <w:t>言</w:t>
      </w:r>
      <w:bookmarkEnd w:id="22"/>
    </w:p>
    <w:p w14:paraId="2581BFD7">
      <w:pPr>
        <w:pStyle w:val="56"/>
        <w:ind w:firstLine="420"/>
      </w:pPr>
      <w:r>
        <w:rPr>
          <w:rFonts w:hint="eastAsia"/>
        </w:rPr>
        <w:t>本文件按照GB/T 1.1—2020《标准化工作导则  第1部分：标准化文件的结构和起草规则》的规定起草。</w:t>
      </w:r>
    </w:p>
    <w:p w14:paraId="3DD4EACA">
      <w:pPr>
        <w:spacing w:before="68" w:line="312" w:lineRule="exact"/>
        <w:ind w:firstLine="455"/>
        <w:rPr>
          <w:rFonts w:ascii="宋体" w:hAnsi="宋体" w:cs="宋体"/>
          <w:kern w:val="0"/>
        </w:rPr>
      </w:pPr>
      <w:r>
        <w:rPr>
          <w:rFonts w:hint="eastAsia" w:ascii="宋体" w:hAnsi="宋体" w:cs="宋体"/>
          <w:position w:val="7"/>
        </w:rPr>
        <w:t>DB34/T 2748《高速公路沥青路面养护指南》分为以下 3 个部分：</w:t>
      </w:r>
    </w:p>
    <w:p w14:paraId="52DEF90A">
      <w:pPr>
        <w:spacing w:line="218" w:lineRule="auto"/>
        <w:ind w:firstLine="456"/>
        <w:rPr>
          <w:rFonts w:ascii="宋体" w:hAnsi="宋体" w:cs="宋体"/>
        </w:rPr>
      </w:pPr>
      <w:r>
        <w:rPr>
          <w:rFonts w:hint="eastAsia" w:ascii="宋体" w:hAnsi="宋体" w:cs="宋体"/>
        </w:rPr>
        <w:t>——第</w:t>
      </w:r>
      <w:r>
        <w:rPr>
          <w:rFonts w:hint="eastAsia" w:ascii="宋体" w:hAnsi="宋体" w:cs="宋体"/>
          <w:spacing w:val="-1"/>
        </w:rPr>
        <w:t xml:space="preserve"> </w:t>
      </w:r>
      <w:r>
        <w:rPr>
          <w:rFonts w:hint="eastAsia" w:ascii="宋体" w:hAnsi="宋体" w:cs="宋体"/>
        </w:rPr>
        <w:t>1</w:t>
      </w:r>
      <w:r>
        <w:rPr>
          <w:rFonts w:hint="eastAsia" w:ascii="宋体" w:hAnsi="宋体" w:cs="宋体"/>
          <w:spacing w:val="-1"/>
        </w:rPr>
        <w:t xml:space="preserve"> </w:t>
      </w:r>
      <w:r>
        <w:rPr>
          <w:rFonts w:hint="eastAsia" w:ascii="宋体" w:hAnsi="宋体" w:cs="宋体"/>
        </w:rPr>
        <w:t>部分</w:t>
      </w:r>
      <w:r>
        <w:rPr>
          <w:rFonts w:hint="eastAsia" w:ascii="宋体" w:hAnsi="宋体" w:cs="宋体"/>
          <w:spacing w:val="-50"/>
        </w:rPr>
        <w:t>：</w:t>
      </w:r>
      <w:r>
        <w:rPr>
          <w:rFonts w:hint="eastAsia" w:ascii="宋体" w:hAnsi="宋体" w:cs="宋体"/>
          <w:spacing w:val="-105"/>
        </w:rPr>
        <w:t xml:space="preserve"> </w:t>
      </w:r>
      <w:r>
        <w:rPr>
          <w:rFonts w:hint="eastAsia" w:ascii="宋体" w:hAnsi="宋体" w:cs="宋体"/>
        </w:rPr>
        <w:t>路面技术状况评定</w:t>
      </w:r>
      <w:r>
        <w:rPr>
          <w:rFonts w:hint="eastAsia" w:ascii="宋体" w:hAnsi="宋体" w:cs="宋体"/>
          <w:spacing w:val="-50"/>
        </w:rPr>
        <w:t>；</w:t>
      </w:r>
    </w:p>
    <w:p w14:paraId="46EAB903">
      <w:pPr>
        <w:spacing w:before="62" w:line="312" w:lineRule="exact"/>
        <w:ind w:firstLine="456"/>
        <w:rPr>
          <w:rFonts w:ascii="宋体" w:hAnsi="宋体" w:cs="宋体"/>
        </w:rPr>
      </w:pPr>
      <w:r>
        <w:rPr>
          <w:rFonts w:hint="eastAsia" w:ascii="宋体" w:hAnsi="宋体" w:cs="宋体"/>
          <w:position w:val="7"/>
        </w:rPr>
        <w:t>——第</w:t>
      </w:r>
      <w:r>
        <w:rPr>
          <w:rFonts w:hint="eastAsia" w:ascii="宋体" w:hAnsi="宋体" w:cs="宋体"/>
          <w:spacing w:val="-1"/>
          <w:position w:val="7"/>
        </w:rPr>
        <w:t xml:space="preserve"> </w:t>
      </w:r>
      <w:r>
        <w:rPr>
          <w:rFonts w:hint="eastAsia" w:ascii="宋体" w:hAnsi="宋体" w:cs="宋体"/>
          <w:position w:val="7"/>
        </w:rPr>
        <w:t>2 部分</w:t>
      </w:r>
      <w:r>
        <w:rPr>
          <w:rFonts w:hint="eastAsia" w:ascii="宋体" w:hAnsi="宋体" w:cs="宋体"/>
          <w:spacing w:val="-67"/>
          <w:position w:val="7"/>
        </w:rPr>
        <w:t>：</w:t>
      </w:r>
      <w:r>
        <w:rPr>
          <w:rFonts w:hint="eastAsia" w:ascii="宋体" w:hAnsi="宋体" w:cs="宋体"/>
          <w:spacing w:val="-105"/>
          <w:position w:val="7"/>
        </w:rPr>
        <w:t xml:space="preserve"> </w:t>
      </w:r>
      <w:r>
        <w:rPr>
          <w:rFonts w:hint="eastAsia" w:ascii="宋体" w:hAnsi="宋体" w:cs="宋体"/>
          <w:position w:val="7"/>
        </w:rPr>
        <w:t>养护设计导则</w:t>
      </w:r>
      <w:r>
        <w:rPr>
          <w:rFonts w:hint="eastAsia" w:ascii="宋体" w:hAnsi="宋体" w:cs="宋体"/>
          <w:spacing w:val="-67"/>
          <w:position w:val="7"/>
        </w:rPr>
        <w:t>；</w:t>
      </w:r>
    </w:p>
    <w:p w14:paraId="77924535">
      <w:pPr>
        <w:spacing w:line="216" w:lineRule="auto"/>
        <w:ind w:firstLine="456"/>
        <w:rPr>
          <w:rFonts w:ascii="宋体" w:hAnsi="宋体" w:cs="宋体"/>
        </w:rPr>
      </w:pPr>
      <w:r>
        <w:rPr>
          <w:rFonts w:hint="eastAsia" w:ascii="宋体" w:hAnsi="宋体" w:cs="宋体"/>
        </w:rPr>
        <w:t>——第</w:t>
      </w:r>
      <w:r>
        <w:rPr>
          <w:rFonts w:hint="eastAsia" w:ascii="宋体" w:hAnsi="宋体" w:cs="宋体"/>
          <w:spacing w:val="-1"/>
        </w:rPr>
        <w:t xml:space="preserve"> </w:t>
      </w:r>
      <w:r>
        <w:rPr>
          <w:rFonts w:hint="eastAsia" w:ascii="宋体" w:hAnsi="宋体" w:cs="宋体"/>
        </w:rPr>
        <w:t>3 部分</w:t>
      </w:r>
      <w:r>
        <w:rPr>
          <w:rFonts w:hint="eastAsia" w:ascii="宋体" w:hAnsi="宋体" w:cs="宋体"/>
          <w:spacing w:val="-62"/>
        </w:rPr>
        <w:t>：</w:t>
      </w:r>
      <w:r>
        <w:rPr>
          <w:rFonts w:hint="eastAsia" w:ascii="宋体" w:hAnsi="宋体" w:cs="宋体"/>
          <w:spacing w:val="-105"/>
        </w:rPr>
        <w:t xml:space="preserve"> </w:t>
      </w:r>
      <w:r>
        <w:rPr>
          <w:rFonts w:hint="eastAsia" w:ascii="宋体" w:hAnsi="宋体" w:cs="宋体"/>
        </w:rPr>
        <w:t>养护工程后评价</w:t>
      </w:r>
      <w:r>
        <w:rPr>
          <w:rFonts w:hint="eastAsia" w:ascii="宋体" w:hAnsi="宋体" w:cs="宋体"/>
          <w:spacing w:val="-62"/>
        </w:rPr>
        <w:t>。</w:t>
      </w:r>
    </w:p>
    <w:p w14:paraId="7EC20864">
      <w:pPr>
        <w:pStyle w:val="56"/>
        <w:ind w:firstLine="420"/>
      </w:pPr>
      <w:r>
        <w:rPr>
          <w:rFonts w:hint="eastAsia" w:hAnsi="宋体" w:cs="宋体"/>
          <w:snapToGrid w:val="0"/>
        </w:rPr>
        <w:t>本部分</w:t>
      </w:r>
      <w:r>
        <w:rPr>
          <w:rFonts w:hint="eastAsia"/>
        </w:rPr>
        <w:t>为DB34/T 2748第 2 部分。</w:t>
      </w:r>
    </w:p>
    <w:p w14:paraId="4D7F24DD">
      <w:pPr>
        <w:pStyle w:val="56"/>
        <w:ind w:firstLine="420"/>
      </w:pPr>
      <w:r>
        <w:rPr>
          <w:rFonts w:hint="eastAsia"/>
        </w:rPr>
        <w:t>本</w:t>
      </w:r>
      <w:r>
        <w:t>文件代替《</w:t>
      </w:r>
      <w:r>
        <w:rPr>
          <w:rFonts w:hint="eastAsia"/>
        </w:rPr>
        <w:t>高速公路沥青路面养护指南</w:t>
      </w:r>
      <w:r>
        <w:t xml:space="preserve">  第 2 部分：养护设计导则》。与</w:t>
      </w:r>
      <w:r>
        <w:rPr>
          <w:rFonts w:hint="eastAsia"/>
        </w:rPr>
        <w:t>DB34/T 2748.2</w:t>
      </w:r>
      <w:r>
        <w:t>—</w:t>
      </w:r>
      <w:r>
        <w:rPr>
          <w:rFonts w:hint="eastAsia"/>
        </w:rPr>
        <w:t>2016相</w:t>
      </w:r>
      <w:r>
        <w:t>比，除编辑性修改外，主要技术内容如下：</w:t>
      </w:r>
    </w:p>
    <w:p w14:paraId="557EBCF1">
      <w:pPr>
        <w:pStyle w:val="56"/>
        <w:tabs>
          <w:tab w:val="left" w:pos="312"/>
        </w:tabs>
        <w:ind w:left="1470" w:leftChars="200" w:hanging="1050" w:hangingChars="500"/>
        <w:rPr>
          <w:rFonts w:hint="eastAsia" w:eastAsia="宋体"/>
          <w:lang w:eastAsia="zh-CN"/>
        </w:rPr>
      </w:pPr>
      <w:r>
        <w:rPr>
          <w:rFonts w:hint="eastAsia"/>
        </w:rPr>
        <w:t>（1）</w:t>
      </w:r>
      <w:r>
        <w:rPr>
          <w:rFonts w:hint="eastAsia" w:hAnsi="宋体" w:cs="宋体"/>
          <w:lang w:val="en-US" w:eastAsia="zh-CN"/>
        </w:rPr>
        <w:t>增加了</w:t>
      </w:r>
      <w:r>
        <w:rPr>
          <w:rFonts w:hint="eastAsia" w:ascii="宋体" w:hAnsi="宋体" w:cs="宋体"/>
          <w:lang w:val="en-US" w:eastAsia="zh-CN"/>
        </w:rPr>
        <w:t>JTG H10</w:t>
      </w:r>
      <w:r>
        <w:rPr>
          <w:rFonts w:hint="eastAsia" w:hAnsi="宋体" w:cs="宋体"/>
          <w:lang w:val="en-US" w:eastAsia="zh-CN"/>
        </w:rPr>
        <w:t>、</w:t>
      </w:r>
      <w:r>
        <w:rPr>
          <w:rFonts w:hint="eastAsia" w:ascii="宋体" w:hAnsi="宋体" w:cs="宋体"/>
        </w:rPr>
        <w:t>JTG 5421</w:t>
      </w:r>
      <w:r>
        <w:rPr>
          <w:rFonts w:hint="eastAsia" w:hAnsi="宋体" w:cs="宋体"/>
          <w:lang w:eastAsia="zh-CN"/>
        </w:rPr>
        <w:t>；</w:t>
      </w:r>
      <w:r>
        <w:rPr>
          <w:rFonts w:hint="eastAsia" w:hAnsi="宋体" w:cs="宋体"/>
          <w:lang w:val="en-US" w:eastAsia="zh-CN"/>
        </w:rPr>
        <w:t>调整了</w:t>
      </w:r>
      <w:r>
        <w:rPr>
          <w:rFonts w:hint="eastAsia"/>
        </w:rPr>
        <w:t>规范性引用文件</w:t>
      </w:r>
      <w:r>
        <w:rPr>
          <w:rFonts w:hAnsi="宋体" w:cs="宋体"/>
        </w:rPr>
        <w:t>JTG</w:t>
      </w:r>
      <w:r>
        <w:rPr>
          <w:rFonts w:hAnsi="宋体" w:cs="宋体"/>
          <w:spacing w:val="-1"/>
        </w:rPr>
        <w:t xml:space="preserve"> </w:t>
      </w:r>
      <w:r>
        <w:rPr>
          <w:rFonts w:hAnsi="宋体" w:cs="宋体"/>
        </w:rPr>
        <w:t>E42</w:t>
      </w:r>
      <w:r>
        <w:rPr>
          <w:rFonts w:hint="eastAsia" w:hAnsi="宋体" w:cs="宋体"/>
          <w:lang w:eastAsia="zh-CN"/>
        </w:rPr>
        <w:t>、</w:t>
      </w:r>
      <w:r>
        <w:rPr>
          <w:rFonts w:hAnsi="宋体" w:cs="宋体"/>
        </w:rPr>
        <w:t>JTG</w:t>
      </w:r>
      <w:r>
        <w:rPr>
          <w:rFonts w:hAnsi="宋体" w:cs="宋体"/>
          <w:spacing w:val="-1"/>
        </w:rPr>
        <w:t xml:space="preserve"> </w:t>
      </w:r>
      <w:r>
        <w:rPr>
          <w:rFonts w:hAnsi="宋体" w:cs="宋体"/>
        </w:rPr>
        <w:t>E51</w:t>
      </w:r>
      <w:r>
        <w:rPr>
          <w:rFonts w:hint="eastAsia" w:hAnsi="宋体" w:cs="宋体"/>
          <w:lang w:eastAsia="zh-CN"/>
        </w:rPr>
        <w:t>、</w:t>
      </w:r>
      <w:r>
        <w:rPr>
          <w:rFonts w:hAnsi="宋体" w:cs="宋体"/>
        </w:rPr>
        <w:t>JTG 3450</w:t>
      </w:r>
      <w:r>
        <w:rPr>
          <w:rFonts w:hint="eastAsia" w:hAnsi="宋体" w:cs="宋体"/>
          <w:lang w:val="en-US" w:eastAsia="zh-CN"/>
        </w:rPr>
        <w:t>的规范号。</w:t>
      </w:r>
      <w:r>
        <w:rPr>
          <w:rFonts w:hint="eastAsia" w:hAnsi="宋体" w:cs="宋体"/>
          <w:lang w:eastAsia="zh-CN"/>
        </w:rPr>
        <w:t>（</w:t>
      </w:r>
      <w:r>
        <w:rPr>
          <w:rFonts w:hint="eastAsia" w:hAnsi="宋体" w:cs="宋体"/>
          <w:lang w:val="en-US" w:eastAsia="zh-CN"/>
        </w:rPr>
        <w:t xml:space="preserve"> 2.规范性引用文件，2016年标准2.规范性引用文件</w:t>
      </w:r>
      <w:r>
        <w:rPr>
          <w:rFonts w:hint="eastAsia" w:hAnsi="宋体" w:cs="宋体"/>
          <w:lang w:eastAsia="zh-CN"/>
        </w:rPr>
        <w:t>）</w:t>
      </w:r>
    </w:p>
    <w:p w14:paraId="50D1EEDE">
      <w:pPr>
        <w:pStyle w:val="56"/>
        <w:tabs>
          <w:tab w:val="left" w:pos="312"/>
        </w:tabs>
        <w:ind w:left="420" w:firstLine="0" w:firstLineChars="0"/>
      </w:pPr>
      <w:r>
        <w:rPr>
          <w:rFonts w:hint="eastAsia"/>
        </w:rPr>
        <w:t>（2）</w:t>
      </w:r>
      <w:r>
        <w:rPr>
          <w:rFonts w:hint="eastAsia"/>
          <w:lang w:val="en-US" w:eastAsia="zh-CN"/>
        </w:rPr>
        <w:t>删除了预防性养护名词定义</w:t>
      </w:r>
      <w:r>
        <w:t>。</w:t>
      </w:r>
      <w:r>
        <w:rPr>
          <w:rFonts w:hint="eastAsia"/>
          <w:lang w:val="en-US" w:eastAsia="zh-CN"/>
        </w:rPr>
        <w:t>（见2016年标准 3.1）</w:t>
      </w:r>
    </w:p>
    <w:p w14:paraId="6000E9E2">
      <w:pPr>
        <w:pStyle w:val="56"/>
        <w:tabs>
          <w:tab w:val="left" w:pos="312"/>
        </w:tabs>
        <w:ind w:left="420" w:firstLine="0" w:firstLineChars="0"/>
      </w:pPr>
      <w:r>
        <w:rPr>
          <w:rFonts w:hint="eastAsia"/>
        </w:rPr>
        <w:t>（</w:t>
      </w:r>
      <w:r>
        <w:rPr>
          <w:rFonts w:hint="eastAsia"/>
          <w:lang w:val="en-US" w:eastAsia="zh-CN"/>
        </w:rPr>
        <w:t>3</w:t>
      </w:r>
      <w:r>
        <w:rPr>
          <w:rFonts w:hint="eastAsia"/>
        </w:rPr>
        <w:t>）</w:t>
      </w:r>
      <w:r>
        <w:rPr>
          <w:rFonts w:hint="eastAsia"/>
          <w:lang w:val="en-US" w:eastAsia="zh-CN"/>
        </w:rPr>
        <w:t>修改了设计原则</w:t>
      </w:r>
      <w:r>
        <w:t>。</w:t>
      </w:r>
      <w:r>
        <w:rPr>
          <w:rFonts w:hint="eastAsia"/>
          <w:lang w:val="en-US" w:eastAsia="zh-CN"/>
        </w:rPr>
        <w:t>（见5.2-5.4，2016年标准5.2-5.5）</w:t>
      </w:r>
    </w:p>
    <w:p w14:paraId="27221865">
      <w:pPr>
        <w:pStyle w:val="56"/>
        <w:tabs>
          <w:tab w:val="left" w:pos="312"/>
        </w:tabs>
        <w:ind w:left="420" w:firstLine="0" w:firstLineChars="0"/>
        <w:rPr>
          <w:rFonts w:hint="default" w:eastAsia="宋体"/>
          <w:lang w:val="en-US" w:eastAsia="zh-CN"/>
        </w:rPr>
      </w:pPr>
      <w:r>
        <w:rPr>
          <w:rFonts w:hint="eastAsia"/>
          <w:lang w:eastAsia="zh-CN"/>
        </w:rPr>
        <w:t>（</w:t>
      </w:r>
      <w:r>
        <w:rPr>
          <w:rFonts w:hint="eastAsia"/>
          <w:lang w:val="en-US" w:eastAsia="zh-CN"/>
        </w:rPr>
        <w:t>4</w:t>
      </w:r>
      <w:r>
        <w:rPr>
          <w:rFonts w:hint="eastAsia"/>
          <w:lang w:eastAsia="zh-CN"/>
        </w:rPr>
        <w:t>）</w:t>
      </w:r>
      <w:r>
        <w:rPr>
          <w:rFonts w:hint="eastAsia"/>
          <w:lang w:val="en-US" w:eastAsia="zh-CN"/>
        </w:rPr>
        <w:t>增加了路面技术状况分析和路面指标的复核与筛选。（见8.1.3.4和8.1.3.5）</w:t>
      </w:r>
    </w:p>
    <w:p w14:paraId="2CFC2DA4">
      <w:pPr>
        <w:pStyle w:val="56"/>
        <w:ind w:firstLine="420"/>
        <w:rPr>
          <w:rFonts w:hint="eastAsia" w:hAnsi="宋体" w:eastAsia="宋体" w:cs="宋体"/>
          <w:snapToGrid w:val="0"/>
          <w:lang w:eastAsia="zh-CN"/>
        </w:rPr>
      </w:pPr>
      <w:r>
        <w:rPr>
          <w:rFonts w:hint="eastAsia" w:hAnsi="宋体" w:cs="宋体"/>
          <w:snapToGrid w:val="0"/>
          <w:lang w:eastAsia="zh-CN"/>
        </w:rPr>
        <w:t>（</w:t>
      </w:r>
      <w:r>
        <w:rPr>
          <w:rFonts w:hint="eastAsia" w:hAnsi="宋体" w:cs="宋体"/>
          <w:snapToGrid w:val="0"/>
          <w:lang w:val="en-US" w:eastAsia="zh-CN"/>
        </w:rPr>
        <w:t>5</w:t>
      </w:r>
      <w:r>
        <w:rPr>
          <w:rFonts w:hint="eastAsia" w:hAnsi="宋体" w:cs="宋体"/>
          <w:snapToGrid w:val="0"/>
          <w:lang w:eastAsia="zh-CN"/>
        </w:rPr>
        <w:t>）</w:t>
      </w:r>
      <w:r>
        <w:rPr>
          <w:rFonts w:hint="eastAsia" w:hAnsi="宋体" w:cs="宋体"/>
          <w:snapToGrid w:val="0"/>
          <w:lang w:val="en-US" w:eastAsia="zh-CN"/>
        </w:rPr>
        <w:t>调整了病害专项检测内容</w:t>
      </w:r>
      <w:r>
        <w:rPr>
          <w:rFonts w:hint="eastAsia" w:hAnsi="宋体" w:cs="宋体"/>
          <w:snapToGrid w:val="0"/>
          <w:lang w:eastAsia="zh-CN"/>
        </w:rPr>
        <w:t>。（</w:t>
      </w:r>
      <w:r>
        <w:rPr>
          <w:rFonts w:hint="eastAsia" w:hAnsi="宋体" w:cs="宋体"/>
          <w:snapToGrid w:val="0"/>
          <w:lang w:val="en-US" w:eastAsia="zh-CN"/>
        </w:rPr>
        <w:t>见9.2中表1，2016年标准9.2中表1</w:t>
      </w:r>
      <w:r>
        <w:rPr>
          <w:rFonts w:hint="eastAsia" w:hAnsi="宋体" w:cs="宋体"/>
          <w:snapToGrid w:val="0"/>
          <w:lang w:eastAsia="zh-CN"/>
        </w:rPr>
        <w:t>）</w:t>
      </w:r>
    </w:p>
    <w:p w14:paraId="3D9FA09A">
      <w:pPr>
        <w:pStyle w:val="56"/>
        <w:ind w:firstLine="420"/>
        <w:rPr>
          <w:rFonts w:hint="eastAsia" w:hAnsi="宋体" w:cs="宋体"/>
          <w:snapToGrid w:val="0"/>
        </w:rPr>
      </w:pPr>
      <w:r>
        <w:rPr>
          <w:rFonts w:hint="eastAsia" w:hAnsi="宋体" w:cs="宋体"/>
          <w:snapToGrid w:val="0"/>
          <w:lang w:val="en-US" w:eastAsia="zh-CN"/>
        </w:rPr>
        <w:t>（6）调整了章节养护设计的内容。（见10.1-10.3，2016年标准10.1-10.3）</w:t>
      </w:r>
    </w:p>
    <w:p w14:paraId="3305C78F">
      <w:pPr>
        <w:pStyle w:val="56"/>
        <w:ind w:firstLine="420"/>
      </w:pPr>
      <w:r>
        <w:rPr>
          <w:rFonts w:hAnsi="宋体"/>
        </w:rPr>
        <w:t>请注意本文件的某些内容可能涉及专利。本文件的发布机构不承担识别专利的责任。</w:t>
      </w:r>
    </w:p>
    <w:p w14:paraId="593465FE">
      <w:pPr>
        <w:pStyle w:val="56"/>
        <w:ind w:firstLine="420"/>
      </w:pPr>
      <w:r>
        <w:rPr>
          <w:rFonts w:hint="eastAsia"/>
        </w:rPr>
        <w:t>本文件由安徽</w:t>
      </w:r>
      <w:r>
        <w:t>省交通运输厅</w:t>
      </w:r>
      <w:r>
        <w:rPr>
          <w:rFonts w:hint="eastAsia"/>
        </w:rPr>
        <w:t>提出并归口。</w:t>
      </w:r>
    </w:p>
    <w:p w14:paraId="4CFBB121">
      <w:pPr>
        <w:pStyle w:val="56"/>
        <w:ind w:firstLine="420"/>
      </w:pPr>
      <w:r>
        <w:rPr>
          <w:rFonts w:hint="eastAsia"/>
        </w:rPr>
        <w:t>本文件起草单位：安徽</w:t>
      </w:r>
      <w:r>
        <w:t>省交通控股集团有限公司</w:t>
      </w:r>
      <w:r>
        <w:rPr>
          <w:rFonts w:hint="eastAsia"/>
        </w:rPr>
        <w:t>、</w:t>
      </w:r>
      <w:r>
        <w:t>安徽</w:t>
      </w:r>
      <w:r>
        <w:rPr>
          <w:rFonts w:hint="eastAsia"/>
        </w:rPr>
        <w:t>皖</w:t>
      </w:r>
      <w:r>
        <w:t>通高速公路股份有限公司</w:t>
      </w:r>
      <w:r>
        <w:rPr>
          <w:rFonts w:hint="eastAsia"/>
        </w:rPr>
        <w:t>、</w:t>
      </w:r>
      <w:r>
        <w:t>安徽交控道路养护有限公司</w:t>
      </w:r>
      <w:r>
        <w:rPr>
          <w:rFonts w:hint="eastAsia"/>
        </w:rPr>
        <w:t>。</w:t>
      </w:r>
    </w:p>
    <w:p w14:paraId="70CB5FEF">
      <w:pPr>
        <w:pStyle w:val="56"/>
        <w:ind w:firstLine="420"/>
      </w:pPr>
      <w:r>
        <w:rPr>
          <w:rFonts w:hint="eastAsia"/>
        </w:rPr>
        <w:t>本文件主要起草人：</w:t>
      </w:r>
    </w:p>
    <w:p w14:paraId="595505EF">
      <w:pPr>
        <w:pStyle w:val="56"/>
        <w:ind w:firstLine="420"/>
      </w:pPr>
    </w:p>
    <w:p w14:paraId="6230232C">
      <w:pPr>
        <w:pStyle w:val="56"/>
        <w:ind w:firstLine="420"/>
      </w:pPr>
    </w:p>
    <w:p w14:paraId="2E9C3C8C">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3"/>
    <w:p w14:paraId="7F65B083">
      <w:pPr>
        <w:spacing w:line="20" w:lineRule="exact"/>
        <w:jc w:val="center"/>
        <w:rPr>
          <w:rFonts w:ascii="黑体" w:hAnsi="黑体" w:eastAsia="黑体"/>
          <w:sz w:val="32"/>
          <w:szCs w:val="32"/>
        </w:rPr>
      </w:pPr>
      <w:bookmarkStart w:id="24" w:name="BookMark4"/>
    </w:p>
    <w:p w14:paraId="0771CAA7">
      <w:pPr>
        <w:spacing w:line="20" w:lineRule="exact"/>
        <w:jc w:val="center"/>
        <w:rPr>
          <w:rFonts w:ascii="黑体" w:hAnsi="黑体" w:eastAsia="黑体"/>
          <w:sz w:val="32"/>
          <w:szCs w:val="32"/>
        </w:rPr>
      </w:pPr>
    </w:p>
    <w:sdt>
      <w:sdtPr>
        <w:tag w:val="NEW_STAND_NAME"/>
        <w:id w:val="595910757"/>
        <w:lock w:val="sdtLocked"/>
        <w:placeholder>
          <w:docPart w:val="FB5E7471D1CF4FB7BE90A4BF21876C30"/>
        </w:placeholder>
      </w:sdtPr>
      <w:sdtContent>
        <w:p w14:paraId="53C95D0C">
          <w:pPr>
            <w:pStyle w:val="177"/>
            <w:spacing w:before="3" w:beforeLines="1" w:after="686" w:afterLines="220"/>
          </w:pPr>
          <w:bookmarkStart w:id="25" w:name="NEW_STAND_NAME"/>
          <w:r>
            <w:rPr>
              <w:rFonts w:hint="eastAsia"/>
            </w:rPr>
            <w:t>高速公路沥青路面养护指南</w:t>
          </w:r>
          <w:r>
            <w:t xml:space="preserve">  第 2 部分：养护设计导则</w:t>
          </w:r>
        </w:p>
      </w:sdtContent>
    </w:sdt>
    <w:bookmarkEnd w:id="25"/>
    <w:p w14:paraId="75316724">
      <w:pPr>
        <w:pStyle w:val="104"/>
        <w:spacing w:before="312" w:after="312"/>
      </w:pPr>
      <w:bookmarkStart w:id="26" w:name="_Toc17233325"/>
      <w:bookmarkStart w:id="27" w:name="_Toc179786166"/>
      <w:bookmarkStart w:id="28" w:name="_Toc26986771"/>
      <w:bookmarkStart w:id="29" w:name="_Toc97191423"/>
      <w:bookmarkStart w:id="30" w:name="_Toc26986530"/>
      <w:bookmarkStart w:id="31" w:name="_Toc24884218"/>
      <w:bookmarkStart w:id="32" w:name="_Toc180078168"/>
      <w:bookmarkStart w:id="33" w:name="_Toc26718930"/>
      <w:bookmarkStart w:id="34" w:name="_Toc24884211"/>
      <w:bookmarkStart w:id="35" w:name="_Toc17233333"/>
      <w:bookmarkStart w:id="36" w:name="_Toc26648465"/>
      <w:r>
        <w:rPr>
          <w:rFonts w:hint="eastAsia"/>
        </w:rPr>
        <w:t>范围</w:t>
      </w:r>
      <w:bookmarkEnd w:id="26"/>
      <w:bookmarkEnd w:id="27"/>
      <w:bookmarkEnd w:id="28"/>
      <w:bookmarkEnd w:id="29"/>
      <w:bookmarkEnd w:id="30"/>
      <w:bookmarkEnd w:id="31"/>
      <w:bookmarkEnd w:id="32"/>
      <w:bookmarkEnd w:id="33"/>
      <w:bookmarkEnd w:id="34"/>
      <w:bookmarkEnd w:id="35"/>
      <w:bookmarkEnd w:id="36"/>
      <w:bookmarkStart w:id="37" w:name="_Toc17233326"/>
      <w:bookmarkStart w:id="38" w:name="_Toc24884212"/>
      <w:bookmarkStart w:id="39" w:name="_Toc26648466"/>
      <w:bookmarkStart w:id="40" w:name="_Toc17233334"/>
      <w:bookmarkStart w:id="41" w:name="_Toc24884219"/>
    </w:p>
    <w:p w14:paraId="71AC0940">
      <w:pPr>
        <w:spacing w:before="69" w:line="274" w:lineRule="auto"/>
        <w:ind w:left="39" w:right="64" w:firstLine="420"/>
        <w:rPr>
          <w:rFonts w:ascii="宋体" w:hAnsi="宋体" w:cs="宋体"/>
        </w:rPr>
      </w:pPr>
      <w:r>
        <w:rPr>
          <w:rFonts w:ascii="宋体" w:hAnsi="宋体" w:cs="宋体"/>
        </w:rPr>
        <w:t>本</w:t>
      </w:r>
      <w:r>
        <w:rPr>
          <w:rFonts w:hint="eastAsia" w:ascii="宋体" w:hAnsi="宋体" w:cs="宋体"/>
        </w:rPr>
        <w:t>文件</w:t>
      </w:r>
      <w:r>
        <w:rPr>
          <w:rFonts w:ascii="宋体" w:hAnsi="宋体" w:cs="宋体"/>
        </w:rPr>
        <w:t>规定了高速公路沥青路面养护的术语和定义</w:t>
      </w:r>
      <w:r>
        <w:rPr>
          <w:rFonts w:ascii="宋体" w:hAnsi="宋体" w:cs="宋体"/>
          <w:spacing w:val="-26"/>
        </w:rPr>
        <w:t>、</w:t>
      </w:r>
      <w:r>
        <w:rPr>
          <w:rFonts w:ascii="宋体" w:hAnsi="宋体" w:cs="宋体"/>
        </w:rPr>
        <w:t>设计原则</w:t>
      </w:r>
      <w:r>
        <w:rPr>
          <w:rFonts w:ascii="宋体" w:hAnsi="宋体" w:cs="宋体"/>
          <w:spacing w:val="-26"/>
        </w:rPr>
        <w:t>、</w:t>
      </w:r>
      <w:r>
        <w:rPr>
          <w:rFonts w:ascii="宋体" w:hAnsi="宋体" w:cs="宋体"/>
        </w:rPr>
        <w:t>设计流程</w:t>
      </w:r>
      <w:r>
        <w:rPr>
          <w:rFonts w:ascii="宋体" w:hAnsi="宋体" w:cs="宋体"/>
          <w:spacing w:val="-25"/>
        </w:rPr>
        <w:t>、</w:t>
      </w:r>
      <w:r>
        <w:rPr>
          <w:rFonts w:hint="eastAsia" w:ascii="宋体" w:hAnsi="宋体" w:cs="宋体"/>
          <w:lang w:val="en-US" w:eastAsia="zh-CN"/>
        </w:rPr>
        <w:t>基础</w:t>
      </w:r>
      <w:r>
        <w:rPr>
          <w:rFonts w:ascii="宋体" w:hAnsi="宋体" w:cs="宋体"/>
        </w:rPr>
        <w:t>资料收集</w:t>
      </w:r>
      <w:r>
        <w:rPr>
          <w:rFonts w:ascii="宋体" w:hAnsi="宋体" w:cs="宋体"/>
          <w:spacing w:val="-25"/>
        </w:rPr>
        <w:t>、</w:t>
      </w:r>
      <w:r>
        <w:rPr>
          <w:rFonts w:ascii="宋体" w:hAnsi="宋体" w:cs="宋体"/>
        </w:rPr>
        <w:t>路面状况分析与养护路段筛选</w:t>
      </w:r>
      <w:r>
        <w:rPr>
          <w:rFonts w:ascii="宋体" w:hAnsi="宋体" w:cs="宋体"/>
          <w:spacing w:val="-11"/>
        </w:rPr>
        <w:t>、</w:t>
      </w:r>
      <w:r>
        <w:rPr>
          <w:rFonts w:ascii="宋体" w:hAnsi="宋体" w:cs="宋体"/>
        </w:rPr>
        <w:t>病害专项检测及养护设计</w:t>
      </w:r>
      <w:r>
        <w:rPr>
          <w:rFonts w:ascii="宋体" w:hAnsi="宋体" w:cs="宋体"/>
          <w:spacing w:val="-11"/>
        </w:rPr>
        <w:t>。</w:t>
      </w:r>
    </w:p>
    <w:p w14:paraId="26594B95">
      <w:pPr>
        <w:pStyle w:val="56"/>
        <w:ind w:firstLine="420"/>
      </w:pPr>
      <w:r>
        <w:rPr>
          <w:rFonts w:hAnsi="宋体" w:cs="宋体"/>
          <w:szCs w:val="21"/>
        </w:rPr>
        <w:t>本</w:t>
      </w:r>
      <w:r>
        <w:rPr>
          <w:rFonts w:hint="eastAsia" w:hAnsi="宋体" w:cs="宋体"/>
          <w:szCs w:val="21"/>
        </w:rPr>
        <w:t>文件</w:t>
      </w:r>
      <w:r>
        <w:rPr>
          <w:rFonts w:hAnsi="宋体" w:cs="宋体"/>
          <w:szCs w:val="21"/>
        </w:rPr>
        <w:t>适用于安徽省高速公路沥青路面</w:t>
      </w:r>
      <w:r>
        <w:rPr>
          <w:rFonts w:hint="eastAsia" w:hAnsi="宋体" w:cs="宋体"/>
          <w:szCs w:val="21"/>
          <w:lang w:val="en-US" w:eastAsia="zh-CN"/>
        </w:rPr>
        <w:t>修复</w:t>
      </w:r>
      <w:r>
        <w:rPr>
          <w:rFonts w:hAnsi="宋体" w:cs="宋体"/>
          <w:szCs w:val="21"/>
        </w:rPr>
        <w:t>养护</w:t>
      </w:r>
      <w:r>
        <w:rPr>
          <w:rFonts w:hAnsi="宋体" w:cs="宋体"/>
          <w:spacing w:val="-13"/>
          <w:szCs w:val="21"/>
        </w:rPr>
        <w:t>、</w:t>
      </w:r>
      <w:r>
        <w:rPr>
          <w:rFonts w:hAnsi="宋体" w:cs="宋体"/>
          <w:szCs w:val="21"/>
        </w:rPr>
        <w:t>预防性养护的设计</w:t>
      </w:r>
      <w:r>
        <w:rPr>
          <w:rFonts w:hAnsi="宋体" w:cs="宋体"/>
          <w:spacing w:val="-7"/>
          <w:szCs w:val="21"/>
        </w:rPr>
        <w:t>，</w:t>
      </w:r>
      <w:r>
        <w:rPr>
          <w:rFonts w:hAnsi="宋体" w:cs="宋体"/>
          <w:szCs w:val="21"/>
        </w:rPr>
        <w:t>国</w:t>
      </w:r>
      <w:r>
        <w:rPr>
          <w:rFonts w:hAnsi="宋体" w:cs="宋体"/>
          <w:spacing w:val="-7"/>
          <w:szCs w:val="21"/>
        </w:rPr>
        <w:t>、</w:t>
      </w:r>
      <w:r>
        <w:rPr>
          <w:rFonts w:hAnsi="宋体" w:cs="宋体"/>
          <w:szCs w:val="21"/>
        </w:rPr>
        <w:t>省道等其它地方公路可参照执行</w:t>
      </w:r>
      <w:r>
        <w:rPr>
          <w:rFonts w:hAnsi="宋体" w:cs="宋体"/>
          <w:spacing w:val="-6"/>
          <w:szCs w:val="21"/>
        </w:rPr>
        <w:t>。</w:t>
      </w:r>
    </w:p>
    <w:p w14:paraId="192278EC">
      <w:pPr>
        <w:pStyle w:val="104"/>
        <w:spacing w:before="312" w:after="312"/>
      </w:pPr>
      <w:bookmarkStart w:id="42" w:name="_Toc26986531"/>
      <w:bookmarkStart w:id="43" w:name="_Toc97191424"/>
      <w:bookmarkStart w:id="44" w:name="_Toc180078169"/>
      <w:bookmarkStart w:id="45" w:name="_Toc26718931"/>
      <w:bookmarkStart w:id="46" w:name="_Toc179786167"/>
      <w:bookmarkStart w:id="47" w:name="_Toc26986772"/>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37640841900D453999E09113F3CE629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E82995D">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A63B8D9">
      <w:pPr>
        <w:spacing w:before="64" w:line="218" w:lineRule="auto"/>
        <w:ind w:firstLine="458"/>
        <w:rPr>
          <w:rFonts w:ascii="宋体" w:hAnsi="宋体" w:cs="宋体"/>
        </w:rPr>
      </w:pPr>
      <w:r>
        <w:rPr>
          <w:rFonts w:ascii="宋体" w:hAnsi="宋体" w:cs="宋体"/>
        </w:rPr>
        <w:t>JTG</w:t>
      </w:r>
      <w:r>
        <w:rPr>
          <w:rFonts w:ascii="宋体" w:hAnsi="宋体" w:cs="宋体"/>
          <w:spacing w:val="-1"/>
        </w:rPr>
        <w:t xml:space="preserve"> </w:t>
      </w:r>
      <w:r>
        <w:rPr>
          <w:rFonts w:hint="eastAsia" w:ascii="宋体" w:hAnsi="宋体" w:cs="宋体"/>
          <w:lang w:val="en-US" w:eastAsia="zh-CN"/>
        </w:rPr>
        <w:t>3430</w:t>
      </w:r>
      <w:r>
        <w:rPr>
          <w:rFonts w:ascii="宋体" w:hAnsi="宋体" w:cs="宋体"/>
          <w:spacing w:val="-1"/>
        </w:rPr>
        <w:t xml:space="preserve"> </w:t>
      </w:r>
      <w:r>
        <w:rPr>
          <w:rFonts w:ascii="宋体" w:hAnsi="宋体" w:cs="宋体"/>
        </w:rPr>
        <w:t xml:space="preserve"> 公路土工试验规程</w:t>
      </w:r>
    </w:p>
    <w:p w14:paraId="1FDDA32E">
      <w:pPr>
        <w:spacing w:before="64" w:line="218" w:lineRule="auto"/>
        <w:ind w:firstLine="458"/>
        <w:rPr>
          <w:rFonts w:ascii="宋体" w:hAnsi="宋体" w:cs="宋体"/>
        </w:rPr>
      </w:pPr>
      <w:r>
        <w:rPr>
          <w:rFonts w:ascii="宋体" w:hAnsi="宋体" w:cs="宋体"/>
        </w:rPr>
        <w:t xml:space="preserve">JTG 3432 </w:t>
      </w:r>
      <w:r>
        <w:rPr>
          <w:rFonts w:hint="eastAsia" w:ascii="宋体" w:hAnsi="宋体" w:cs="宋体"/>
          <w:lang w:val="en-US" w:eastAsia="zh-CN"/>
        </w:rPr>
        <w:t xml:space="preserve"> </w:t>
      </w:r>
      <w:r>
        <w:rPr>
          <w:rFonts w:ascii="宋体" w:hAnsi="宋体" w:cs="宋体"/>
        </w:rPr>
        <w:t>公路工程集料试验规程</w:t>
      </w:r>
      <w:r>
        <w:rPr>
          <w:rFonts w:hint="eastAsia" w:ascii="宋体" w:hAnsi="宋体" w:cs="宋体"/>
        </w:rPr>
        <w:t xml:space="preserve"> </w:t>
      </w:r>
    </w:p>
    <w:p w14:paraId="0B2068E8">
      <w:pPr>
        <w:spacing w:before="64" w:line="218" w:lineRule="auto"/>
        <w:ind w:firstLine="458"/>
        <w:rPr>
          <w:rFonts w:ascii="宋体" w:hAnsi="宋体" w:cs="宋体"/>
        </w:rPr>
      </w:pPr>
      <w:r>
        <w:rPr>
          <w:rFonts w:ascii="宋体" w:hAnsi="宋体" w:cs="宋体"/>
        </w:rPr>
        <w:t>JTG 3441</w:t>
      </w:r>
      <w:r>
        <w:rPr>
          <w:rFonts w:ascii="宋体" w:hAnsi="宋体" w:cs="宋体"/>
          <w:spacing w:val="-1"/>
        </w:rPr>
        <w:t xml:space="preserve"> </w:t>
      </w:r>
      <w:r>
        <w:rPr>
          <w:rFonts w:hint="eastAsia" w:ascii="宋体" w:hAnsi="宋体" w:cs="宋体"/>
          <w:spacing w:val="-1"/>
          <w:lang w:val="en-US" w:eastAsia="zh-CN"/>
        </w:rPr>
        <w:t xml:space="preserve"> </w:t>
      </w:r>
      <w:r>
        <w:rPr>
          <w:rFonts w:ascii="宋体" w:hAnsi="宋体" w:cs="宋体"/>
        </w:rPr>
        <w:t>公路工程无机结合料稳定材料试验规程</w:t>
      </w:r>
    </w:p>
    <w:p w14:paraId="7970A4D6">
      <w:pPr>
        <w:spacing w:before="64" w:line="218" w:lineRule="auto"/>
        <w:ind w:firstLine="458"/>
        <w:rPr>
          <w:rFonts w:ascii="宋体" w:hAnsi="宋体" w:cs="宋体"/>
        </w:rPr>
      </w:pPr>
      <w:r>
        <w:rPr>
          <w:rFonts w:ascii="宋体" w:hAnsi="宋体" w:cs="宋体"/>
        </w:rPr>
        <w:t xml:space="preserve">JTG 3450 </w:t>
      </w:r>
      <w:r>
        <w:rPr>
          <w:rFonts w:hint="eastAsia" w:ascii="宋体" w:hAnsi="宋体" w:cs="宋体"/>
          <w:lang w:val="en-US" w:eastAsia="zh-CN"/>
        </w:rPr>
        <w:t xml:space="preserve"> </w:t>
      </w:r>
      <w:r>
        <w:rPr>
          <w:rFonts w:ascii="宋体" w:hAnsi="宋体" w:cs="宋体"/>
        </w:rPr>
        <w:t>公路路基路面现场测试规程</w:t>
      </w:r>
    </w:p>
    <w:p w14:paraId="630480BC">
      <w:pPr>
        <w:spacing w:before="64" w:line="218" w:lineRule="auto"/>
        <w:ind w:firstLine="458"/>
        <w:rPr>
          <w:rFonts w:ascii="宋体" w:hAnsi="宋体" w:cs="宋体"/>
        </w:rPr>
      </w:pPr>
      <w:r>
        <w:rPr>
          <w:rFonts w:ascii="宋体" w:hAnsi="宋体" w:cs="宋体"/>
        </w:rPr>
        <w:t>JTG</w:t>
      </w:r>
      <w:r>
        <w:rPr>
          <w:rFonts w:ascii="宋体" w:hAnsi="宋体" w:cs="宋体"/>
          <w:spacing w:val="-1"/>
        </w:rPr>
        <w:t xml:space="preserve"> </w:t>
      </w:r>
      <w:r>
        <w:rPr>
          <w:rFonts w:hint="eastAsia" w:ascii="宋体" w:hAnsi="宋体" w:cs="宋体"/>
          <w:lang w:val="en-US" w:eastAsia="zh-CN"/>
        </w:rPr>
        <w:t>5210</w:t>
      </w:r>
      <w:r>
        <w:rPr>
          <w:rFonts w:ascii="宋体" w:hAnsi="宋体" w:cs="宋体"/>
        </w:rPr>
        <w:t xml:space="preserve">  公路技术状况评定标准</w:t>
      </w:r>
    </w:p>
    <w:p w14:paraId="06AA98E3">
      <w:pPr>
        <w:spacing w:before="64" w:line="218" w:lineRule="auto"/>
        <w:ind w:firstLine="458"/>
        <w:rPr>
          <w:rFonts w:hint="default" w:ascii="宋体" w:hAnsi="宋体" w:eastAsia="宋体" w:cs="宋体"/>
          <w:lang w:val="en-US" w:eastAsia="zh-CN"/>
        </w:rPr>
      </w:pPr>
      <w:r>
        <w:rPr>
          <w:rFonts w:hint="eastAsia" w:ascii="宋体" w:hAnsi="宋体" w:cs="宋体"/>
          <w:lang w:val="en-US" w:eastAsia="zh-CN"/>
        </w:rPr>
        <w:t>JTG 5110  公路养护技术规范</w:t>
      </w:r>
    </w:p>
    <w:p w14:paraId="5E870241">
      <w:pPr>
        <w:spacing w:before="64" w:line="218" w:lineRule="auto"/>
        <w:ind w:firstLine="458"/>
        <w:rPr>
          <w:rFonts w:ascii="宋体" w:hAnsi="宋体" w:cs="宋体"/>
        </w:rPr>
      </w:pPr>
      <w:r>
        <w:rPr>
          <w:rFonts w:hint="eastAsia" w:ascii="宋体" w:hAnsi="宋体" w:cs="宋体"/>
        </w:rPr>
        <w:t>JTG 5421</w:t>
      </w:r>
      <w:r>
        <w:rPr>
          <w:rFonts w:ascii="宋体" w:hAnsi="宋体" w:cs="宋体"/>
        </w:rPr>
        <w:t xml:space="preserve"> </w:t>
      </w:r>
      <w:r>
        <w:rPr>
          <w:rFonts w:hint="eastAsia" w:ascii="宋体" w:hAnsi="宋体" w:cs="宋体"/>
          <w:lang w:val="en-US" w:eastAsia="zh-CN"/>
        </w:rPr>
        <w:t xml:space="preserve"> </w:t>
      </w:r>
      <w:r>
        <w:rPr>
          <w:rFonts w:hint="eastAsia" w:ascii="宋体" w:hAnsi="宋体" w:cs="宋体"/>
        </w:rPr>
        <w:t>公路沥青路面养护设计规范</w:t>
      </w:r>
    </w:p>
    <w:p w14:paraId="1E92C0A5">
      <w:pPr>
        <w:spacing w:before="1" w:line="218" w:lineRule="auto"/>
        <w:ind w:firstLine="458"/>
        <w:rPr>
          <w:rFonts w:ascii="宋体" w:hAnsi="宋体" w:cs="宋体"/>
        </w:rPr>
      </w:pPr>
      <w:r>
        <w:rPr>
          <w:rFonts w:ascii="宋体" w:hAnsi="宋体" w:cs="宋体"/>
        </w:rPr>
        <w:t>JTG</w:t>
      </w:r>
      <w:r>
        <w:rPr>
          <w:rFonts w:ascii="宋体" w:hAnsi="宋体" w:cs="宋体"/>
          <w:spacing w:val="-1"/>
        </w:rPr>
        <w:t xml:space="preserve"> </w:t>
      </w:r>
      <w:r>
        <w:rPr>
          <w:rFonts w:ascii="宋体" w:hAnsi="宋体" w:cs="宋体"/>
        </w:rPr>
        <w:t xml:space="preserve">D50  </w:t>
      </w:r>
      <w:r>
        <w:rPr>
          <w:rFonts w:hint="eastAsia" w:ascii="宋体" w:hAnsi="宋体" w:cs="宋体"/>
          <w:lang w:val="en-US" w:eastAsia="zh-CN"/>
        </w:rPr>
        <w:t xml:space="preserve"> </w:t>
      </w:r>
      <w:r>
        <w:rPr>
          <w:rFonts w:ascii="宋体" w:hAnsi="宋体" w:cs="宋体"/>
        </w:rPr>
        <w:t>公路沥青路面设计规范</w:t>
      </w:r>
    </w:p>
    <w:p w14:paraId="160CB281">
      <w:pPr>
        <w:spacing w:before="63" w:line="218" w:lineRule="auto"/>
        <w:ind w:firstLine="458"/>
        <w:rPr>
          <w:rFonts w:ascii="宋体" w:hAnsi="宋体" w:cs="宋体"/>
        </w:rPr>
      </w:pPr>
      <w:r>
        <w:rPr>
          <w:rFonts w:ascii="宋体" w:hAnsi="宋体" w:cs="宋体"/>
        </w:rPr>
        <w:t>JTG</w:t>
      </w:r>
      <w:r>
        <w:rPr>
          <w:rFonts w:ascii="宋体" w:hAnsi="宋体" w:cs="宋体"/>
          <w:spacing w:val="-1"/>
        </w:rPr>
        <w:t xml:space="preserve"> </w:t>
      </w:r>
      <w:r>
        <w:rPr>
          <w:rFonts w:ascii="宋体" w:hAnsi="宋体" w:cs="宋体"/>
        </w:rPr>
        <w:t>E20</w:t>
      </w:r>
      <w:r>
        <w:rPr>
          <w:rFonts w:ascii="宋体" w:hAnsi="宋体" w:cs="宋体"/>
          <w:spacing w:val="-1"/>
        </w:rPr>
        <w:t xml:space="preserve"> </w:t>
      </w:r>
      <w:r>
        <w:rPr>
          <w:rFonts w:ascii="宋体" w:hAnsi="宋体" w:cs="宋体"/>
        </w:rPr>
        <w:t xml:space="preserve"> </w:t>
      </w:r>
      <w:r>
        <w:rPr>
          <w:rFonts w:hint="eastAsia" w:ascii="宋体" w:hAnsi="宋体" w:cs="宋体"/>
          <w:lang w:val="en-US" w:eastAsia="zh-CN"/>
        </w:rPr>
        <w:t xml:space="preserve"> </w:t>
      </w:r>
      <w:r>
        <w:rPr>
          <w:rFonts w:ascii="宋体" w:hAnsi="宋体" w:cs="宋体"/>
        </w:rPr>
        <w:t>公路工程沥青及沥青混合料试验规程</w:t>
      </w:r>
    </w:p>
    <w:p w14:paraId="5BFDA549">
      <w:pPr>
        <w:spacing w:before="64" w:line="218" w:lineRule="auto"/>
        <w:ind w:firstLine="458"/>
        <w:rPr>
          <w:rFonts w:ascii="宋体" w:hAnsi="宋体" w:cs="宋体"/>
        </w:rPr>
      </w:pPr>
      <w:r>
        <w:rPr>
          <w:rFonts w:ascii="宋体" w:hAnsi="宋体" w:cs="宋体"/>
        </w:rPr>
        <w:t>JTG</w:t>
      </w:r>
      <w:r>
        <w:rPr>
          <w:rFonts w:ascii="宋体" w:hAnsi="宋体" w:cs="宋体"/>
          <w:spacing w:val="-1"/>
        </w:rPr>
        <w:t xml:space="preserve"> </w:t>
      </w:r>
      <w:r>
        <w:rPr>
          <w:rFonts w:ascii="宋体" w:hAnsi="宋体" w:cs="宋体"/>
        </w:rPr>
        <w:t>F40</w:t>
      </w:r>
      <w:r>
        <w:rPr>
          <w:rFonts w:ascii="宋体" w:hAnsi="宋体" w:cs="宋体"/>
          <w:spacing w:val="-1"/>
        </w:rPr>
        <w:t xml:space="preserve"> </w:t>
      </w:r>
      <w:r>
        <w:rPr>
          <w:rFonts w:ascii="宋体" w:hAnsi="宋体" w:cs="宋体"/>
        </w:rPr>
        <w:t xml:space="preserve"> </w:t>
      </w:r>
      <w:r>
        <w:rPr>
          <w:rFonts w:hint="eastAsia" w:ascii="宋体" w:hAnsi="宋体" w:cs="宋体"/>
          <w:lang w:val="en-US" w:eastAsia="zh-CN"/>
        </w:rPr>
        <w:t xml:space="preserve"> </w:t>
      </w:r>
      <w:r>
        <w:rPr>
          <w:rFonts w:ascii="宋体" w:hAnsi="宋体" w:cs="宋体"/>
        </w:rPr>
        <w:t>公路沥青路面施工技术规范</w:t>
      </w:r>
    </w:p>
    <w:p w14:paraId="1E665FD6">
      <w:pPr>
        <w:spacing w:before="64" w:line="218" w:lineRule="auto"/>
        <w:ind w:firstLine="458"/>
        <w:rPr>
          <w:rFonts w:ascii="宋体" w:hAnsi="宋体" w:cs="宋体"/>
        </w:rPr>
      </w:pPr>
      <w:r>
        <w:rPr>
          <w:rFonts w:ascii="宋体" w:hAnsi="宋体" w:cs="宋体"/>
        </w:rPr>
        <w:t>JTG</w:t>
      </w:r>
      <w:r>
        <w:rPr>
          <w:rFonts w:ascii="宋体" w:hAnsi="宋体" w:cs="宋体"/>
          <w:spacing w:val="-1"/>
        </w:rPr>
        <w:t xml:space="preserve"> </w:t>
      </w:r>
      <w:r>
        <w:rPr>
          <w:rFonts w:ascii="宋体" w:hAnsi="宋体" w:cs="宋体"/>
        </w:rPr>
        <w:t>F41</w:t>
      </w:r>
      <w:r>
        <w:rPr>
          <w:rFonts w:ascii="宋体" w:hAnsi="宋体" w:cs="宋体"/>
          <w:spacing w:val="-1"/>
        </w:rPr>
        <w:t xml:space="preserve"> </w:t>
      </w:r>
      <w:r>
        <w:rPr>
          <w:rFonts w:hint="eastAsia" w:ascii="宋体" w:hAnsi="宋体" w:cs="宋体"/>
          <w:spacing w:val="-1"/>
          <w:lang w:val="en-US" w:eastAsia="zh-CN"/>
        </w:rPr>
        <w:t xml:space="preserve"> </w:t>
      </w:r>
      <w:r>
        <w:rPr>
          <w:rFonts w:ascii="宋体" w:hAnsi="宋体" w:cs="宋体"/>
        </w:rPr>
        <w:t xml:space="preserve"> 公路沥青路面再生技术规范</w:t>
      </w:r>
    </w:p>
    <w:p w14:paraId="6C0A0A4E">
      <w:pPr>
        <w:pStyle w:val="56"/>
        <w:ind w:firstLine="420"/>
        <w:rPr>
          <w:rFonts w:hAnsi="宋体" w:cs="宋体"/>
          <w:szCs w:val="21"/>
        </w:rPr>
      </w:pPr>
      <w:r>
        <w:rPr>
          <w:rFonts w:hAnsi="宋体" w:cs="宋体"/>
          <w:szCs w:val="21"/>
        </w:rPr>
        <w:t>DB34/T 2748.1  高速公路沥青路面养护指南 第1部分</w:t>
      </w:r>
      <w:r>
        <w:rPr>
          <w:rFonts w:hAnsi="宋体" w:cs="宋体"/>
          <w:spacing w:val="-1"/>
          <w:szCs w:val="21"/>
        </w:rPr>
        <w:t>：</w:t>
      </w:r>
      <w:r>
        <w:rPr>
          <w:rFonts w:hAnsi="宋体" w:cs="宋体"/>
          <w:szCs w:val="21"/>
        </w:rPr>
        <w:t>路面技术状况评定</w:t>
      </w:r>
    </w:p>
    <w:p w14:paraId="4729EE64">
      <w:pPr>
        <w:pStyle w:val="104"/>
        <w:spacing w:before="312" w:after="312"/>
      </w:pPr>
      <w:bookmarkStart w:id="48" w:name="_Toc97191425"/>
      <w:bookmarkStart w:id="49" w:name="_Toc180078170"/>
      <w:bookmarkStart w:id="50" w:name="_Toc179786168"/>
      <w:r>
        <w:rPr>
          <w:rFonts w:hint="eastAsia"/>
          <w:szCs w:val="21"/>
        </w:rPr>
        <w:t>术语和定义</w:t>
      </w:r>
      <w:bookmarkEnd w:id="48"/>
      <w:bookmarkEnd w:id="49"/>
      <w:bookmarkEnd w:id="50"/>
    </w:p>
    <w:sdt>
      <w:sdtPr>
        <w:id w:val="-1909835108"/>
        <w:placeholder>
          <w:docPart w:val="FF2A582E64544FE485CBE5727255C42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68CDC71">
          <w:pPr>
            <w:pStyle w:val="56"/>
            <w:ind w:firstLine="420"/>
          </w:pPr>
          <w:bookmarkStart w:id="51" w:name="_Toc26986532"/>
          <w:bookmarkEnd w:id="51"/>
          <w:r>
            <w:t>下列术语和定义适用于本文件。</w:t>
          </w:r>
        </w:p>
      </w:sdtContent>
    </w:sdt>
    <w:p w14:paraId="6ABBED41">
      <w:pPr>
        <w:pStyle w:val="56"/>
        <w:ind w:firstLine="420"/>
      </w:pPr>
    </w:p>
    <w:p w14:paraId="03E43EB1">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病害专项检测</w:t>
      </w:r>
      <w:r>
        <w:rPr>
          <w:rFonts w:ascii="黑体" w:hAnsi="黑体" w:eastAsia="黑体"/>
          <w:spacing w:val="-1"/>
        </w:rPr>
        <w:t xml:space="preserve"> </w:t>
      </w:r>
      <w:r>
        <w:rPr>
          <w:rFonts w:ascii="黑体" w:hAnsi="黑体" w:eastAsia="黑体"/>
        </w:rPr>
        <w:t>Special</w:t>
      </w:r>
      <w:r>
        <w:rPr>
          <w:rFonts w:ascii="黑体" w:hAnsi="黑体" w:eastAsia="黑体"/>
          <w:spacing w:val="-1"/>
        </w:rPr>
        <w:t xml:space="preserve"> </w:t>
      </w:r>
      <w:r>
        <w:rPr>
          <w:rFonts w:ascii="黑体" w:hAnsi="黑体" w:eastAsia="黑体"/>
        </w:rPr>
        <w:t>damage test</w:t>
      </w:r>
    </w:p>
    <w:p w14:paraId="6FFF0559">
      <w:pPr>
        <w:pStyle w:val="223"/>
        <w:numPr>
          <w:ilvl w:val="0"/>
          <w:numId w:val="0"/>
        </w:numPr>
        <w:ind w:firstLine="420" w:firstLineChars="200"/>
        <w:rPr>
          <w:rFonts w:ascii="黑体" w:hAnsi="黑体" w:eastAsia="黑体"/>
        </w:rPr>
      </w:pPr>
      <w:r>
        <w:rPr>
          <w:rFonts w:hint="eastAsia" w:hAnsi="宋体" w:cs="宋体"/>
          <w:szCs w:val="21"/>
        </w:rPr>
        <w:t>根据病害特点，以病害分析、设计需求等为导向的针对性检测。</w:t>
      </w:r>
    </w:p>
    <w:p w14:paraId="5767CBE9">
      <w:pPr>
        <w:pStyle w:val="104"/>
        <w:spacing w:before="312" w:after="312"/>
      </w:pPr>
      <w:bookmarkStart w:id="52" w:name="_Toc180078171"/>
      <w:r>
        <w:rPr>
          <w:rFonts w:hint="eastAsia"/>
        </w:rPr>
        <w:t>符号</w:t>
      </w:r>
      <w:bookmarkEnd w:id="52"/>
    </w:p>
    <w:p w14:paraId="47557983">
      <w:pPr>
        <w:pStyle w:val="56"/>
        <w:ind w:firstLine="420"/>
      </w:pPr>
      <w:r>
        <w:t>下列符号适用于本文件</w:t>
      </w:r>
      <w:r>
        <w:rPr>
          <w:spacing w:val="-22"/>
        </w:rPr>
        <w:t>。</w:t>
      </w:r>
    </w:p>
    <w:p w14:paraId="532C72FE">
      <w:pPr>
        <w:spacing w:before="62" w:line="312" w:lineRule="exact"/>
        <w:ind w:firstLine="420"/>
        <w:rPr>
          <w:rFonts w:ascii="宋体" w:hAnsi="宋体" w:cs="宋体"/>
        </w:rPr>
      </w:pPr>
      <w:r>
        <w:rPr>
          <w:rFonts w:ascii="宋体" w:hAnsi="宋体" w:cs="宋体"/>
          <w:position w:val="7"/>
        </w:rPr>
        <w:t>PSSI</w:t>
      </w:r>
      <w:r>
        <w:rPr>
          <w:rFonts w:ascii="宋体" w:hAnsi="宋体" w:cs="宋体"/>
          <w:spacing w:val="1"/>
          <w:position w:val="7"/>
        </w:rPr>
        <w:t xml:space="preserve"> </w:t>
      </w:r>
      <w:r>
        <w:rPr>
          <w:rFonts w:ascii="宋体" w:hAnsi="宋体" w:cs="宋体"/>
          <w:position w:val="7"/>
        </w:rPr>
        <w:t>—— 路面结构强度指数</w:t>
      </w:r>
    </w:p>
    <w:p w14:paraId="7EBDEF9D">
      <w:pPr>
        <w:spacing w:line="219" w:lineRule="auto"/>
        <w:ind w:firstLine="420"/>
        <w:rPr>
          <w:rFonts w:ascii="宋体" w:hAnsi="宋体" w:cs="宋体"/>
        </w:rPr>
      </w:pPr>
      <w:r>
        <w:rPr>
          <w:rFonts w:ascii="宋体" w:hAnsi="宋体" w:cs="宋体"/>
        </w:rPr>
        <w:t>PQIs</w:t>
      </w:r>
      <w:r>
        <w:rPr>
          <w:rFonts w:ascii="宋体" w:hAnsi="宋体" w:cs="宋体"/>
          <w:spacing w:val="1"/>
        </w:rPr>
        <w:t xml:space="preserve"> </w:t>
      </w:r>
      <w:r>
        <w:rPr>
          <w:rFonts w:ascii="宋体" w:hAnsi="宋体" w:cs="宋体"/>
        </w:rPr>
        <w:t>—— 路面使用性能指数</w:t>
      </w:r>
    </w:p>
    <w:p w14:paraId="1834EFF1">
      <w:pPr>
        <w:spacing w:before="61" w:line="220" w:lineRule="auto"/>
        <w:ind w:firstLine="420"/>
        <w:rPr>
          <w:rFonts w:ascii="宋体" w:hAnsi="宋体" w:cs="宋体"/>
        </w:rPr>
      </w:pPr>
      <w:r>
        <w:rPr>
          <w:rFonts w:ascii="宋体" w:hAnsi="宋体" w:cs="宋体"/>
        </w:rPr>
        <w:t>PCIs</w:t>
      </w:r>
      <w:r>
        <w:rPr>
          <w:rFonts w:ascii="宋体" w:hAnsi="宋体" w:cs="宋体"/>
          <w:spacing w:val="1"/>
        </w:rPr>
        <w:t xml:space="preserve"> </w:t>
      </w:r>
      <w:r>
        <w:rPr>
          <w:rFonts w:ascii="宋体" w:hAnsi="宋体" w:cs="宋体"/>
        </w:rPr>
        <w:t>—— 路面破损状况指数</w:t>
      </w:r>
    </w:p>
    <w:p w14:paraId="6ED64B1D">
      <w:pPr>
        <w:spacing w:before="62" w:line="220" w:lineRule="auto"/>
        <w:ind w:firstLine="422"/>
        <w:rPr>
          <w:rFonts w:ascii="宋体" w:hAnsi="宋体" w:cs="宋体"/>
        </w:rPr>
      </w:pPr>
      <w:r>
        <w:rPr>
          <w:rFonts w:ascii="宋体" w:hAnsi="宋体" w:cs="宋体"/>
        </w:rPr>
        <w:t>RQIs</w:t>
      </w:r>
      <w:r>
        <w:rPr>
          <w:rFonts w:ascii="宋体" w:hAnsi="宋体" w:cs="宋体"/>
          <w:spacing w:val="-1"/>
        </w:rPr>
        <w:t xml:space="preserve"> </w:t>
      </w:r>
      <w:r>
        <w:rPr>
          <w:rFonts w:ascii="宋体" w:hAnsi="宋体" w:cs="宋体"/>
        </w:rPr>
        <w:t>—— 路面平整度状况指数</w:t>
      </w:r>
    </w:p>
    <w:p w14:paraId="71A936F6">
      <w:pPr>
        <w:spacing w:before="62" w:line="220" w:lineRule="auto"/>
        <w:ind w:firstLine="422"/>
        <w:rPr>
          <w:rFonts w:ascii="宋体" w:hAnsi="宋体" w:cs="宋体"/>
        </w:rPr>
      </w:pPr>
      <w:r>
        <w:rPr>
          <w:rFonts w:ascii="宋体" w:hAnsi="宋体" w:cs="宋体"/>
        </w:rPr>
        <w:t>RDIs</w:t>
      </w:r>
      <w:r>
        <w:rPr>
          <w:rFonts w:ascii="宋体" w:hAnsi="宋体" w:cs="宋体"/>
          <w:spacing w:val="-1"/>
        </w:rPr>
        <w:t xml:space="preserve"> </w:t>
      </w:r>
      <w:r>
        <w:rPr>
          <w:rFonts w:ascii="宋体" w:hAnsi="宋体" w:cs="宋体"/>
        </w:rPr>
        <w:t>—— 路面车辙状况指数</w:t>
      </w:r>
    </w:p>
    <w:p w14:paraId="72FD6510">
      <w:pPr>
        <w:spacing w:before="61" w:line="220" w:lineRule="auto"/>
        <w:ind w:firstLine="424"/>
        <w:rPr>
          <w:rFonts w:ascii="宋体" w:hAnsi="宋体" w:cs="宋体"/>
        </w:rPr>
      </w:pPr>
      <w:r>
        <w:rPr>
          <w:rFonts w:ascii="宋体" w:hAnsi="宋体" w:cs="宋体"/>
        </w:rPr>
        <w:t>SRI</w:t>
      </w:r>
      <w:r>
        <w:rPr>
          <w:rFonts w:ascii="宋体" w:hAnsi="宋体" w:cs="宋体"/>
          <w:spacing w:val="-2"/>
        </w:rPr>
        <w:t xml:space="preserve"> </w:t>
      </w:r>
      <w:r>
        <w:rPr>
          <w:rFonts w:ascii="宋体" w:hAnsi="宋体" w:cs="宋体"/>
        </w:rPr>
        <w:t>——</w:t>
      </w:r>
      <w:r>
        <w:rPr>
          <w:rFonts w:ascii="宋体" w:hAnsi="宋体" w:cs="宋体"/>
          <w:spacing w:val="-2"/>
        </w:rPr>
        <w:t xml:space="preserve"> </w:t>
      </w:r>
      <w:r>
        <w:rPr>
          <w:rFonts w:ascii="宋体" w:hAnsi="宋体" w:cs="宋体"/>
        </w:rPr>
        <w:t>路面抗滑性能指数</w:t>
      </w:r>
    </w:p>
    <w:p w14:paraId="53CBA430">
      <w:pPr>
        <w:spacing w:before="61" w:line="220" w:lineRule="auto"/>
        <w:ind w:firstLine="424"/>
        <w:rPr>
          <w:rFonts w:ascii="宋体" w:hAnsi="宋体" w:cs="宋体"/>
        </w:rPr>
      </w:pPr>
      <w:r>
        <w:rPr>
          <w:rFonts w:hint="eastAsia" w:ascii="宋体" w:hAnsi="宋体" w:cs="宋体"/>
          <w:lang w:val="en-US" w:eastAsia="zh-CN"/>
        </w:rPr>
        <w:t>PBI</w:t>
      </w:r>
      <w:r>
        <w:rPr>
          <w:rFonts w:ascii="宋体" w:hAnsi="宋体" w:cs="宋体"/>
          <w:spacing w:val="-2"/>
        </w:rPr>
        <w:t xml:space="preserve"> </w:t>
      </w:r>
      <w:r>
        <w:rPr>
          <w:rFonts w:ascii="宋体" w:hAnsi="宋体" w:cs="宋体"/>
        </w:rPr>
        <w:t>——</w:t>
      </w:r>
      <w:r>
        <w:rPr>
          <w:rFonts w:ascii="宋体" w:hAnsi="宋体" w:cs="宋体"/>
          <w:spacing w:val="-2"/>
        </w:rPr>
        <w:t xml:space="preserve"> </w:t>
      </w:r>
      <w:r>
        <w:rPr>
          <w:rFonts w:ascii="宋体" w:hAnsi="宋体" w:cs="宋体"/>
        </w:rPr>
        <w:t>路面</w:t>
      </w:r>
      <w:r>
        <w:rPr>
          <w:rFonts w:hint="eastAsia" w:ascii="宋体" w:hAnsi="宋体" w:cs="宋体"/>
          <w:lang w:val="en-US" w:eastAsia="zh-CN"/>
        </w:rPr>
        <w:t>跳车</w:t>
      </w:r>
      <w:r>
        <w:rPr>
          <w:rFonts w:ascii="宋体" w:hAnsi="宋体" w:cs="宋体"/>
        </w:rPr>
        <w:t>指数</w:t>
      </w:r>
    </w:p>
    <w:p w14:paraId="5108B92F">
      <w:pPr>
        <w:spacing w:before="62" w:line="220" w:lineRule="auto"/>
        <w:ind w:firstLine="421"/>
        <w:rPr>
          <w:rFonts w:ascii="宋体" w:hAnsi="宋体" w:cs="宋体"/>
        </w:rPr>
      </w:pPr>
      <w:r>
        <w:rPr>
          <w:rFonts w:ascii="宋体" w:hAnsi="宋体" w:cs="宋体"/>
        </w:rPr>
        <w:t>TCS —— 横向裂缝间距</w:t>
      </w:r>
    </w:p>
    <w:p w14:paraId="302A598A">
      <w:pPr>
        <w:spacing w:before="62" w:line="629" w:lineRule="exact"/>
        <w:ind w:firstLine="420"/>
        <w:rPr>
          <w:rFonts w:ascii="宋体" w:hAnsi="宋体" w:cs="宋体"/>
          <w:position w:val="32"/>
        </w:rPr>
      </w:pPr>
      <w:r>
        <w:rPr>
          <w:rFonts w:ascii="宋体" w:hAnsi="宋体" w:cs="宋体"/>
          <w:position w:val="32"/>
        </w:rPr>
        <w:t>PPR</w:t>
      </w:r>
      <w:r>
        <w:rPr>
          <w:rFonts w:ascii="宋体" w:hAnsi="宋体" w:cs="宋体"/>
          <w:spacing w:val="1"/>
          <w:position w:val="32"/>
        </w:rPr>
        <w:t xml:space="preserve"> </w:t>
      </w:r>
      <w:r>
        <w:rPr>
          <w:rFonts w:ascii="宋体" w:hAnsi="宋体" w:cs="宋体"/>
          <w:position w:val="32"/>
        </w:rPr>
        <w:t>—— 路面修补率</w:t>
      </w:r>
    </w:p>
    <w:p w14:paraId="0C37AE9D">
      <w:pPr>
        <w:pStyle w:val="104"/>
        <w:keepNext w:val="0"/>
        <w:keepLines w:val="0"/>
        <w:pageBreakBefore w:val="0"/>
        <w:widowControl/>
        <w:kinsoku/>
        <w:wordWrap/>
        <w:overflowPunct/>
        <w:topLinePunct w:val="0"/>
        <w:autoSpaceDE/>
        <w:autoSpaceDN/>
        <w:bidi w:val="0"/>
        <w:adjustRightInd/>
        <w:snapToGrid/>
        <w:spacing w:before="312" w:after="312"/>
        <w:jc w:val="left"/>
        <w:textAlignment w:val="auto"/>
      </w:pPr>
      <w:bookmarkStart w:id="53" w:name="_Toc180078172"/>
      <w:r>
        <w:rPr>
          <w:rFonts w:hint="eastAsia"/>
        </w:rPr>
        <w:t>设计</w:t>
      </w:r>
      <w:r>
        <w:t>原则</w:t>
      </w:r>
      <w:bookmarkEnd w:id="53"/>
    </w:p>
    <w:p w14:paraId="03B8BC92">
      <w:pPr>
        <w:pStyle w:val="105"/>
        <w:keepNext w:val="0"/>
        <w:keepLines w:val="0"/>
        <w:pageBreakBefore w:val="0"/>
        <w:widowControl/>
        <w:numPr>
          <w:ilvl w:val="2"/>
          <w:numId w:val="0"/>
        </w:numPr>
        <w:kinsoku/>
        <w:wordWrap/>
        <w:overflowPunct/>
        <w:topLinePunct w:val="0"/>
        <w:autoSpaceDE/>
        <w:autoSpaceDN/>
        <w:bidi w:val="0"/>
        <w:adjustRightInd/>
        <w:snapToGrid/>
        <w:spacing w:before="156" w:after="156"/>
        <w:jc w:val="left"/>
        <w:textAlignment w:val="auto"/>
      </w:pPr>
      <w:bookmarkStart w:id="54" w:name="_Toc179820018"/>
      <w:bookmarkStart w:id="55" w:name="_Toc180078173"/>
      <w:r>
        <w:rPr>
          <w:rFonts w:hint="eastAsia" w:hAnsi="黑体" w:cs="黑体"/>
          <w:szCs w:val="21"/>
          <w:lang w:val="en-US" w:eastAsia="zh-CN"/>
        </w:rPr>
        <w:t xml:space="preserve">5.1 </w:t>
      </w:r>
      <w:r>
        <w:rPr>
          <w:rFonts w:hAnsi="黑体" w:cs="黑体"/>
          <w:szCs w:val="21"/>
        </w:rPr>
        <w:t>全面检测</w:t>
      </w:r>
      <w:r>
        <w:rPr>
          <w:rFonts w:hAnsi="黑体" w:cs="黑体"/>
          <w:spacing w:val="-5"/>
          <w:szCs w:val="21"/>
        </w:rPr>
        <w:t>、</w:t>
      </w:r>
      <w:r>
        <w:rPr>
          <w:rFonts w:hAnsi="黑体" w:cs="黑体"/>
          <w:szCs w:val="21"/>
        </w:rPr>
        <w:t>科学评价</w:t>
      </w:r>
      <w:bookmarkEnd w:id="54"/>
      <w:bookmarkEnd w:id="55"/>
    </w:p>
    <w:p w14:paraId="46EFA13B">
      <w:pPr>
        <w:pStyle w:val="56"/>
        <w:ind w:firstLine="420"/>
      </w:pPr>
      <w:r>
        <w:rPr>
          <w:rFonts w:hint="eastAsia"/>
        </w:rPr>
        <w:t>方案设计前，对路面进行技术状况检测，根据需要对路面脱空、局部沉陷等病害进行病害专项检测，并</w:t>
      </w:r>
      <w:r>
        <w:rPr>
          <w:rFonts w:hint="eastAsia"/>
          <w:lang w:val="en-US" w:eastAsia="zh-CN"/>
        </w:rPr>
        <w:t>科学</w:t>
      </w:r>
      <w:r>
        <w:rPr>
          <w:rFonts w:hint="eastAsia"/>
        </w:rPr>
        <w:t>评价病害状况及产生原因。</w:t>
      </w:r>
    </w:p>
    <w:p w14:paraId="5BBA1AE4">
      <w:pPr>
        <w:pStyle w:val="105"/>
        <w:numPr>
          <w:ilvl w:val="2"/>
          <w:numId w:val="0"/>
        </w:numPr>
        <w:spacing w:before="156" w:after="156"/>
      </w:pPr>
      <w:bookmarkStart w:id="56" w:name="_Toc180078174"/>
      <w:bookmarkStart w:id="57" w:name="_Toc179820019"/>
      <w:r>
        <w:rPr>
          <w:rFonts w:hint="eastAsia" w:hAnsi="黑体" w:cs="黑体"/>
          <w:szCs w:val="21"/>
          <w:lang w:val="en-US" w:eastAsia="zh-CN"/>
        </w:rPr>
        <w:t xml:space="preserve">5.2 </w:t>
      </w:r>
      <w:r>
        <w:rPr>
          <w:rFonts w:hAnsi="黑体" w:cs="黑体"/>
          <w:szCs w:val="21"/>
        </w:rPr>
        <w:t>因路制宜</w:t>
      </w:r>
      <w:r>
        <w:rPr>
          <w:rFonts w:hint="eastAsia" w:hAnsi="黑体" w:cs="黑体"/>
          <w:szCs w:val="21"/>
        </w:rPr>
        <w:t>、</w:t>
      </w:r>
      <w:r>
        <w:rPr>
          <w:rFonts w:hAnsi="黑体" w:cs="黑体"/>
          <w:szCs w:val="21"/>
        </w:rPr>
        <w:t>分段设计</w:t>
      </w:r>
      <w:bookmarkEnd w:id="56"/>
      <w:bookmarkEnd w:id="57"/>
    </w:p>
    <w:p w14:paraId="441B8462">
      <w:pPr>
        <w:pStyle w:val="56"/>
        <w:ind w:firstLine="420"/>
      </w:pPr>
      <w:r>
        <w:rPr>
          <w:rFonts w:hint="eastAsia"/>
          <w:lang w:val="en-US" w:eastAsia="zh-CN"/>
        </w:rPr>
        <w:t>方案设计应综合考虑项目线形、交通量、通行环境以及沿线气候、地质、水文条件等因素。</w:t>
      </w:r>
      <w:r>
        <w:t>根据路面结构</w:t>
      </w:r>
      <w:r>
        <w:rPr>
          <w:spacing w:val="-26"/>
        </w:rPr>
        <w:t>、</w:t>
      </w:r>
      <w:r>
        <w:t>横断面形式</w:t>
      </w:r>
      <w:r>
        <w:rPr>
          <w:rFonts w:hint="eastAsia"/>
        </w:rPr>
        <w:t>、</w:t>
      </w:r>
      <w:r>
        <w:t>交通量的不同</w:t>
      </w:r>
      <w:r>
        <w:rPr>
          <w:rFonts w:hint="eastAsia"/>
        </w:rPr>
        <w:t>、</w:t>
      </w:r>
      <w:r>
        <w:rPr>
          <w:rFonts w:hAnsi="宋体" w:cs="宋体"/>
          <w:szCs w:val="21"/>
        </w:rPr>
        <w:t>线形</w:t>
      </w:r>
      <w:r>
        <w:rPr>
          <w:rFonts w:hAnsi="宋体" w:cs="宋体"/>
          <w:spacing w:val="-21"/>
          <w:szCs w:val="21"/>
        </w:rPr>
        <w:t>、</w:t>
      </w:r>
      <w:r>
        <w:rPr>
          <w:rFonts w:hAnsi="宋体" w:cs="宋体"/>
          <w:szCs w:val="21"/>
        </w:rPr>
        <w:t>交通量</w:t>
      </w:r>
      <w:r>
        <w:rPr>
          <w:rFonts w:hAnsi="宋体" w:cs="宋体"/>
          <w:spacing w:val="-21"/>
          <w:szCs w:val="21"/>
        </w:rPr>
        <w:t>、</w:t>
      </w:r>
      <w:r>
        <w:rPr>
          <w:rFonts w:hAnsi="宋体" w:cs="宋体"/>
          <w:szCs w:val="21"/>
        </w:rPr>
        <w:t>通行环境以及沿线气候</w:t>
      </w:r>
      <w:r>
        <w:rPr>
          <w:rFonts w:hAnsi="宋体" w:cs="宋体"/>
          <w:spacing w:val="-20"/>
          <w:szCs w:val="21"/>
        </w:rPr>
        <w:t>、</w:t>
      </w:r>
      <w:r>
        <w:rPr>
          <w:rFonts w:hAnsi="宋体" w:cs="宋体"/>
          <w:szCs w:val="21"/>
        </w:rPr>
        <w:t>地质</w:t>
      </w:r>
      <w:r>
        <w:rPr>
          <w:rFonts w:hAnsi="宋体" w:cs="宋体"/>
          <w:spacing w:val="-20"/>
          <w:szCs w:val="21"/>
        </w:rPr>
        <w:t>、</w:t>
      </w:r>
      <w:r>
        <w:rPr>
          <w:rFonts w:hAnsi="宋体" w:cs="宋体"/>
          <w:szCs w:val="21"/>
        </w:rPr>
        <w:t>水文条件等因素</w:t>
      </w:r>
      <w:r>
        <w:rPr>
          <w:spacing w:val="-25"/>
        </w:rPr>
        <w:t>，</w:t>
      </w:r>
      <w:r>
        <w:t>分</w:t>
      </w:r>
      <w:r>
        <w:rPr>
          <w:rFonts w:hint="eastAsia"/>
          <w:lang w:val="en-US" w:eastAsia="zh-CN"/>
        </w:rPr>
        <w:t>路段、分段落</w:t>
      </w:r>
      <w:r>
        <w:t>进行养护设计</w:t>
      </w:r>
      <w:r>
        <w:rPr>
          <w:spacing w:val="-25"/>
        </w:rPr>
        <w:t>。</w:t>
      </w:r>
      <w:r>
        <w:t>对于每个设计</w:t>
      </w:r>
      <w:r>
        <w:rPr>
          <w:rFonts w:hint="eastAsia"/>
          <w:lang w:val="en-US" w:eastAsia="zh-CN"/>
        </w:rPr>
        <w:t>段落</w:t>
      </w:r>
      <w:r>
        <w:rPr>
          <w:spacing w:val="-25"/>
        </w:rPr>
        <w:t>，</w:t>
      </w:r>
      <w:r>
        <w:rPr>
          <w:spacing w:val="-105"/>
        </w:rPr>
        <w:t xml:space="preserve"> </w:t>
      </w:r>
      <w:r>
        <w:t>综合考虑路面技术状况</w:t>
      </w:r>
      <w:r>
        <w:rPr>
          <w:spacing w:val="-6"/>
        </w:rPr>
        <w:t>、</w:t>
      </w:r>
      <w:r>
        <w:t>病害类型及严重程度</w:t>
      </w:r>
      <w:r>
        <w:rPr>
          <w:spacing w:val="-5"/>
        </w:rPr>
        <w:t>、</w:t>
      </w:r>
      <w:r>
        <w:t>养护需求等因素</w:t>
      </w:r>
      <w:r>
        <w:rPr>
          <w:spacing w:val="-5"/>
        </w:rPr>
        <w:t>，</w:t>
      </w:r>
      <w:r>
        <w:t>分类对病害进行处治</w:t>
      </w:r>
      <w:r>
        <w:rPr>
          <w:rFonts w:hint="eastAsia"/>
          <w:spacing w:val="-5"/>
        </w:rPr>
        <w:t>。</w:t>
      </w:r>
    </w:p>
    <w:p w14:paraId="4FE469BF">
      <w:pPr>
        <w:pStyle w:val="105"/>
        <w:numPr>
          <w:ilvl w:val="2"/>
          <w:numId w:val="0"/>
        </w:numPr>
        <w:spacing w:before="156" w:after="156"/>
      </w:pPr>
      <w:bookmarkStart w:id="58" w:name="_Toc180078175"/>
      <w:bookmarkStart w:id="59" w:name="_Toc179820020"/>
      <w:r>
        <w:rPr>
          <w:rFonts w:hint="eastAsia" w:hAnsi="黑体" w:cs="黑体"/>
          <w:szCs w:val="21"/>
          <w:lang w:val="en-US" w:eastAsia="zh-CN"/>
        </w:rPr>
        <w:t xml:space="preserve">5.3 </w:t>
      </w:r>
      <w:r>
        <w:rPr>
          <w:rFonts w:hAnsi="黑体" w:cs="黑体"/>
          <w:szCs w:val="21"/>
        </w:rPr>
        <w:t>注重环保</w:t>
      </w:r>
      <w:r>
        <w:rPr>
          <w:rFonts w:hint="eastAsia" w:hAnsi="黑体" w:cs="黑体"/>
          <w:szCs w:val="21"/>
          <w:lang w:eastAsia="zh-CN"/>
        </w:rPr>
        <w:t>、</w:t>
      </w:r>
      <w:r>
        <w:rPr>
          <w:rFonts w:hAnsi="黑体" w:cs="黑体"/>
          <w:szCs w:val="21"/>
        </w:rPr>
        <w:t>动态设计</w:t>
      </w:r>
      <w:bookmarkEnd w:id="58"/>
      <w:bookmarkEnd w:id="59"/>
    </w:p>
    <w:p w14:paraId="2E32581D">
      <w:pPr>
        <w:pStyle w:val="56"/>
        <w:ind w:firstLine="420"/>
        <w:rPr>
          <w:rFonts w:hint="eastAsia"/>
          <w:lang w:val="en-US" w:eastAsia="zh-CN"/>
        </w:rPr>
      </w:pPr>
      <w:r>
        <w:rPr>
          <w:rFonts w:hint="eastAsia"/>
          <w:lang w:val="en-US" w:eastAsia="zh-CN"/>
        </w:rPr>
        <w:t>对于旧路铣刨料应尽量循环利用，并注重与其他工程及周边环境的协调。实施过程中实时跟踪路面病害发展状况，并对病害路段分布和病害破坏程度进行确认， 根据病害确认结果实时调整养护路段和养护方案。</w:t>
      </w:r>
    </w:p>
    <w:p w14:paraId="1A7FB558">
      <w:pPr>
        <w:pStyle w:val="105"/>
        <w:numPr>
          <w:ilvl w:val="2"/>
          <w:numId w:val="0"/>
        </w:numPr>
        <w:spacing w:before="156" w:after="156"/>
      </w:pPr>
      <w:bookmarkStart w:id="60" w:name="_Toc180078176"/>
      <w:r>
        <w:rPr>
          <w:rFonts w:hint="eastAsia" w:hAnsi="黑体" w:cs="黑体"/>
          <w:spacing w:val="-5"/>
          <w:szCs w:val="21"/>
          <w:lang w:val="en-US" w:eastAsia="zh-CN"/>
        </w:rPr>
        <w:t xml:space="preserve">5.4 </w:t>
      </w:r>
      <w:r>
        <w:rPr>
          <w:rFonts w:hint="eastAsia" w:hAnsi="黑体" w:cs="黑体"/>
          <w:spacing w:val="-5"/>
          <w:szCs w:val="21"/>
        </w:rPr>
        <w:t>鼓励创新、持续完善</w:t>
      </w:r>
      <w:bookmarkEnd w:id="60"/>
    </w:p>
    <w:p w14:paraId="7FFF73D4">
      <w:pPr>
        <w:pStyle w:val="56"/>
        <w:ind w:firstLine="420"/>
      </w:pPr>
      <w:r>
        <w:rPr>
          <w:rFonts w:hAnsi="宋体" w:cs="宋体"/>
          <w:szCs w:val="21"/>
        </w:rPr>
        <w:t>积极推动新材料</w:t>
      </w:r>
      <w:r>
        <w:rPr>
          <w:rFonts w:hAnsi="宋体" w:cs="宋体"/>
          <w:spacing w:val="-17"/>
          <w:szCs w:val="21"/>
        </w:rPr>
        <w:t>、</w:t>
      </w:r>
      <w:r>
        <w:rPr>
          <w:rFonts w:hAnsi="宋体" w:cs="宋体"/>
          <w:szCs w:val="21"/>
        </w:rPr>
        <w:t>新工艺</w:t>
      </w:r>
      <w:r>
        <w:rPr>
          <w:rFonts w:hAnsi="宋体" w:cs="宋体"/>
          <w:spacing w:val="-17"/>
          <w:szCs w:val="21"/>
        </w:rPr>
        <w:t>、</w:t>
      </w:r>
      <w:r>
        <w:rPr>
          <w:rFonts w:hAnsi="宋体" w:cs="宋体"/>
          <w:szCs w:val="21"/>
        </w:rPr>
        <w:t>新技术在路面养护中的应用</w:t>
      </w:r>
      <w:r>
        <w:rPr>
          <w:rFonts w:hAnsi="宋体" w:cs="宋体"/>
          <w:spacing w:val="-17"/>
          <w:szCs w:val="21"/>
        </w:rPr>
        <w:t>，</w:t>
      </w:r>
      <w:r>
        <w:rPr>
          <w:rFonts w:hAnsi="宋体" w:cs="宋体"/>
          <w:spacing w:val="-105"/>
          <w:szCs w:val="21"/>
        </w:rPr>
        <w:t xml:space="preserve"> </w:t>
      </w:r>
      <w:r>
        <w:rPr>
          <w:rFonts w:hAnsi="宋体" w:cs="宋体"/>
          <w:szCs w:val="21"/>
        </w:rPr>
        <w:t>促进养护技术的高效</w:t>
      </w:r>
      <w:r>
        <w:rPr>
          <w:rFonts w:hAnsi="宋体" w:cs="宋体"/>
          <w:spacing w:val="-17"/>
          <w:szCs w:val="21"/>
        </w:rPr>
        <w:t>、</w:t>
      </w:r>
      <w:r>
        <w:rPr>
          <w:rFonts w:hAnsi="宋体" w:cs="宋体"/>
          <w:szCs w:val="21"/>
        </w:rPr>
        <w:t>节能</w:t>
      </w:r>
      <w:r>
        <w:rPr>
          <w:rFonts w:hAnsi="宋体" w:cs="宋体"/>
          <w:spacing w:val="-17"/>
          <w:szCs w:val="21"/>
        </w:rPr>
        <w:t>、</w:t>
      </w:r>
      <w:r>
        <w:rPr>
          <w:rFonts w:hAnsi="宋体" w:cs="宋体"/>
          <w:szCs w:val="21"/>
        </w:rPr>
        <w:t>环保</w:t>
      </w:r>
      <w:r>
        <w:rPr>
          <w:rFonts w:hAnsi="宋体" w:cs="宋体"/>
          <w:spacing w:val="-16"/>
          <w:szCs w:val="21"/>
        </w:rPr>
        <w:t>、</w:t>
      </w:r>
      <w:r>
        <w:rPr>
          <w:rFonts w:hAnsi="宋体" w:cs="宋体"/>
          <w:szCs w:val="21"/>
        </w:rPr>
        <w:t>可持续发展</w:t>
      </w:r>
      <w:r>
        <w:rPr>
          <w:rFonts w:hAnsi="宋体" w:cs="宋体"/>
          <w:spacing w:val="-6"/>
          <w:szCs w:val="21"/>
        </w:rPr>
        <w:t>，</w:t>
      </w:r>
      <w:r>
        <w:rPr>
          <w:rFonts w:hint="eastAsia" w:hAnsi="宋体" w:cs="宋体"/>
          <w:spacing w:val="-6"/>
          <w:szCs w:val="21"/>
        </w:rPr>
        <w:t>实现</w:t>
      </w:r>
      <w:r>
        <w:rPr>
          <w:rFonts w:hAnsi="宋体" w:cs="宋体"/>
          <w:szCs w:val="21"/>
        </w:rPr>
        <w:t>相关科研</w:t>
      </w:r>
      <w:r>
        <w:rPr>
          <w:rFonts w:hAnsi="宋体" w:cs="宋体"/>
          <w:spacing w:val="-6"/>
          <w:szCs w:val="21"/>
        </w:rPr>
        <w:t>、</w:t>
      </w:r>
      <w:r>
        <w:rPr>
          <w:rFonts w:hAnsi="宋体" w:cs="宋体"/>
          <w:szCs w:val="21"/>
        </w:rPr>
        <w:t>试验段</w:t>
      </w:r>
      <w:r>
        <w:rPr>
          <w:rFonts w:hAnsi="宋体" w:cs="宋体"/>
          <w:spacing w:val="-6"/>
          <w:szCs w:val="21"/>
        </w:rPr>
        <w:t>、</w:t>
      </w:r>
      <w:r>
        <w:rPr>
          <w:rFonts w:hAnsi="宋体" w:cs="宋体"/>
          <w:szCs w:val="21"/>
        </w:rPr>
        <w:t>养护经验等</w:t>
      </w:r>
      <w:r>
        <w:rPr>
          <w:rFonts w:hint="eastAsia" w:hAnsi="宋体" w:cs="宋体"/>
          <w:szCs w:val="21"/>
        </w:rPr>
        <w:t>持续发展</w:t>
      </w:r>
      <w:r>
        <w:rPr>
          <w:rFonts w:hAnsi="宋体" w:cs="宋体"/>
          <w:spacing w:val="-6"/>
          <w:szCs w:val="21"/>
        </w:rPr>
        <w:t>。</w:t>
      </w:r>
    </w:p>
    <w:p w14:paraId="1B36B400">
      <w:pPr>
        <w:pStyle w:val="56"/>
        <w:ind w:firstLine="420"/>
      </w:pPr>
    </w:p>
    <w:p w14:paraId="7B36E9C4">
      <w:pPr>
        <w:pStyle w:val="104"/>
        <w:spacing w:before="312" w:after="312"/>
      </w:pPr>
      <w:bookmarkStart w:id="61" w:name="_Toc180078177"/>
      <w:r>
        <w:rPr>
          <w:rFonts w:hint="eastAsia"/>
        </w:rPr>
        <w:t>设计</w:t>
      </w:r>
      <w:r>
        <w:t>流程</w:t>
      </w:r>
      <w:bookmarkEnd w:id="61"/>
    </w:p>
    <w:p w14:paraId="65B026B3">
      <w:pPr>
        <w:pStyle w:val="56"/>
        <w:ind w:firstLine="420"/>
        <w:rPr>
          <w:rFonts w:hAnsi="宋体" w:cs="宋体"/>
          <w:spacing w:val="-6"/>
          <w:szCs w:val="21"/>
        </w:rPr>
      </w:pPr>
      <w:r>
        <w:rPr>
          <w:rFonts w:hAnsi="宋体" w:cs="宋体"/>
          <w:szCs w:val="21"/>
        </w:rPr>
        <w:t>沥青路面养护设计流程见图1</w:t>
      </w:r>
      <w:r>
        <w:rPr>
          <w:rFonts w:hAnsi="宋体" w:cs="宋体"/>
          <w:spacing w:val="-2"/>
          <w:szCs w:val="21"/>
        </w:rPr>
        <w:t xml:space="preserve"> </w:t>
      </w:r>
      <w:r>
        <w:rPr>
          <w:rFonts w:hAnsi="宋体" w:cs="宋体"/>
          <w:szCs w:val="21"/>
        </w:rPr>
        <w:t>所示</w:t>
      </w:r>
      <w:r>
        <w:rPr>
          <w:rFonts w:hAnsi="宋体" w:cs="宋体"/>
          <w:spacing w:val="-6"/>
          <w:szCs w:val="21"/>
        </w:rPr>
        <w:t>。</w:t>
      </w:r>
    </w:p>
    <w:p w14:paraId="18EDC73A">
      <w:pPr>
        <w:pStyle w:val="56"/>
        <w:ind w:firstLine="420"/>
      </w:pPr>
    </w:p>
    <w:p w14:paraId="028F5DC3">
      <w:pPr>
        <w:pStyle w:val="56"/>
        <w:ind w:firstLine="420"/>
      </w:pPr>
      <w:r>
        <w:drawing>
          <wp:inline distT="0" distB="0" distL="114300" distR="114300">
            <wp:extent cx="4733925" cy="6477000"/>
            <wp:effectExtent l="0" t="0" r="9525"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14"/>
                    <a:stretch>
                      <a:fillRect/>
                    </a:stretch>
                  </pic:blipFill>
                  <pic:spPr>
                    <a:xfrm>
                      <a:off x="0" y="0"/>
                      <a:ext cx="4733925" cy="6477000"/>
                    </a:xfrm>
                    <a:prstGeom prst="rect">
                      <a:avLst/>
                    </a:prstGeom>
                    <a:noFill/>
                    <a:ln>
                      <a:noFill/>
                    </a:ln>
                  </pic:spPr>
                </pic:pic>
              </a:graphicData>
            </a:graphic>
          </wp:inline>
        </w:drawing>
      </w:r>
    </w:p>
    <w:p w14:paraId="2EA48787">
      <w:pPr>
        <w:pStyle w:val="56"/>
        <w:ind w:firstLine="420"/>
        <w:jc w:val="center"/>
        <w:rPr>
          <w:rFonts w:hint="default" w:eastAsia="宋体"/>
          <w:lang w:val="en-US" w:eastAsia="zh-CN"/>
        </w:rPr>
      </w:pPr>
      <w:r>
        <w:rPr>
          <w:rFonts w:hint="eastAsia"/>
          <w:lang w:val="en-US" w:eastAsia="zh-CN"/>
        </w:rPr>
        <w:t>图1 养护设计流程</w:t>
      </w:r>
    </w:p>
    <w:p w14:paraId="12174565">
      <w:pPr>
        <w:pStyle w:val="104"/>
        <w:spacing w:before="312" w:after="312"/>
      </w:pPr>
      <w:bookmarkStart w:id="62" w:name="_Toc180078178"/>
      <w:r>
        <w:rPr>
          <w:rFonts w:hint="eastAsia"/>
        </w:rPr>
        <w:t>基础</w:t>
      </w:r>
      <w:r>
        <w:t>资料收集</w:t>
      </w:r>
      <w:bookmarkEnd w:id="62"/>
    </w:p>
    <w:p w14:paraId="3A175D1F">
      <w:pPr>
        <w:pStyle w:val="105"/>
        <w:numPr>
          <w:ilvl w:val="2"/>
          <w:numId w:val="0"/>
        </w:numPr>
        <w:spacing w:before="156" w:after="156"/>
        <w:jc w:val="left"/>
      </w:pPr>
      <w:bookmarkStart w:id="63" w:name="_Toc180078179"/>
      <w:r>
        <w:rPr>
          <w:rFonts w:hint="eastAsia"/>
          <w:lang w:val="en-US" w:eastAsia="zh-CN"/>
        </w:rPr>
        <w:t xml:space="preserve">7.1 </w:t>
      </w:r>
      <w:r>
        <w:rPr>
          <w:rFonts w:hint="eastAsia"/>
        </w:rPr>
        <w:t>基础</w:t>
      </w:r>
      <w:r>
        <w:t>信息</w:t>
      </w:r>
      <w:bookmarkEnd w:id="63"/>
    </w:p>
    <w:p w14:paraId="7462A70D">
      <w:pPr>
        <w:pStyle w:val="65"/>
        <w:spacing w:before="156" w:after="156"/>
      </w:pPr>
      <w:r>
        <w:rPr>
          <w:rFonts w:hint="eastAsia"/>
        </w:rPr>
        <w:t>道路</w:t>
      </w:r>
      <w:r>
        <w:t>建设初始信息</w:t>
      </w:r>
    </w:p>
    <w:p w14:paraId="47B0BFBA">
      <w:pPr>
        <w:pStyle w:val="56"/>
        <w:ind w:firstLine="420"/>
        <w:rPr>
          <w:rFonts w:hAnsi="宋体" w:cs="宋体"/>
          <w:szCs w:val="21"/>
        </w:rPr>
      </w:pPr>
      <w:r>
        <w:rPr>
          <w:rFonts w:hint="eastAsia" w:hAnsi="宋体" w:cs="宋体"/>
          <w:szCs w:val="21"/>
        </w:rPr>
        <w:t>包括公路等级、设计标准、路面结构、几何线</w:t>
      </w:r>
      <w:r>
        <w:rPr>
          <w:rFonts w:hint="eastAsia" w:hAnsi="宋体" w:cs="宋体"/>
          <w:szCs w:val="21"/>
          <w:lang w:val="en-US" w:eastAsia="zh-CN"/>
        </w:rPr>
        <w:t>型</w:t>
      </w:r>
      <w:r>
        <w:rPr>
          <w:rFonts w:hint="eastAsia" w:hAnsi="宋体" w:cs="宋体"/>
          <w:szCs w:val="21"/>
        </w:rPr>
        <w:t>、通车时间</w:t>
      </w:r>
      <w:r>
        <w:rPr>
          <w:rFonts w:hAnsi="宋体" w:cs="宋体"/>
          <w:szCs w:val="21"/>
        </w:rPr>
        <w:t>等。</w:t>
      </w:r>
    </w:p>
    <w:p w14:paraId="355A9BC8">
      <w:pPr>
        <w:pStyle w:val="65"/>
        <w:spacing w:before="156" w:after="156"/>
        <w:rPr>
          <w:rFonts w:hAnsi="黑体" w:cs="黑体"/>
          <w:szCs w:val="21"/>
        </w:rPr>
      </w:pPr>
      <w:r>
        <w:rPr>
          <w:rFonts w:hAnsi="黑体" w:cs="黑体"/>
          <w:szCs w:val="21"/>
        </w:rPr>
        <w:t>道路</w:t>
      </w:r>
      <w:r>
        <w:rPr>
          <w:rFonts w:hint="eastAsia" w:hAnsi="黑体" w:cs="黑体"/>
          <w:szCs w:val="21"/>
        </w:rPr>
        <w:t>养护历史</w:t>
      </w:r>
      <w:r>
        <w:rPr>
          <w:rFonts w:hAnsi="黑体" w:cs="黑体"/>
          <w:szCs w:val="21"/>
        </w:rPr>
        <w:t>信息</w:t>
      </w:r>
    </w:p>
    <w:p w14:paraId="1AE8D809">
      <w:pPr>
        <w:pStyle w:val="56"/>
        <w:ind w:firstLine="420"/>
        <w:rPr>
          <w:rFonts w:hAnsi="宋体" w:cs="宋体"/>
          <w:spacing w:val="-4"/>
          <w:szCs w:val="21"/>
        </w:rPr>
      </w:pPr>
      <w:r>
        <w:rPr>
          <w:rFonts w:hint="eastAsia" w:hAnsi="宋体" w:cs="宋体"/>
          <w:szCs w:val="21"/>
        </w:rPr>
        <w:t>包括历年路面技术状况检测资料、养护投入、养护段落、养护项目、养护方案等。调阅历史时段以设计需要为准，一般为1-5年内的养护历史信息</w:t>
      </w:r>
      <w:r>
        <w:rPr>
          <w:rFonts w:hint="eastAsia" w:hAnsi="宋体" w:cs="宋体"/>
          <w:spacing w:val="-4"/>
          <w:szCs w:val="21"/>
        </w:rPr>
        <w:t>。</w:t>
      </w:r>
    </w:p>
    <w:p w14:paraId="305F1FAB">
      <w:pPr>
        <w:pStyle w:val="65"/>
        <w:spacing w:before="156" w:after="156"/>
        <w:rPr>
          <w:rFonts w:hAnsi="黑体" w:cs="黑体"/>
          <w:szCs w:val="21"/>
        </w:rPr>
      </w:pPr>
      <w:r>
        <w:rPr>
          <w:rFonts w:hAnsi="黑体" w:cs="黑体"/>
          <w:szCs w:val="21"/>
        </w:rPr>
        <w:t>自然气候资料</w:t>
      </w:r>
    </w:p>
    <w:p w14:paraId="153371EE">
      <w:pPr>
        <w:pStyle w:val="56"/>
        <w:ind w:firstLine="420"/>
        <w:rPr>
          <w:rFonts w:hAnsi="宋体" w:cs="宋体"/>
          <w:spacing w:val="-24"/>
          <w:szCs w:val="21"/>
        </w:rPr>
      </w:pPr>
      <w:r>
        <w:rPr>
          <w:rFonts w:hAnsi="宋体" w:cs="宋体"/>
          <w:szCs w:val="21"/>
        </w:rPr>
        <w:t>包括自然区划</w:t>
      </w:r>
      <w:r>
        <w:rPr>
          <w:rFonts w:hAnsi="宋体" w:cs="宋体"/>
          <w:spacing w:val="-17"/>
          <w:szCs w:val="21"/>
        </w:rPr>
        <w:t>、</w:t>
      </w:r>
      <w:r>
        <w:rPr>
          <w:rFonts w:hAnsi="宋体" w:cs="宋体"/>
          <w:szCs w:val="21"/>
        </w:rPr>
        <w:t>气候特征</w:t>
      </w:r>
      <w:r>
        <w:rPr>
          <w:rFonts w:hAnsi="宋体" w:cs="宋体"/>
          <w:spacing w:val="-17"/>
          <w:szCs w:val="21"/>
        </w:rPr>
        <w:t>、</w:t>
      </w:r>
      <w:r>
        <w:rPr>
          <w:rFonts w:hAnsi="宋体" w:cs="宋体"/>
          <w:szCs w:val="21"/>
        </w:rPr>
        <w:t>年降雨量</w:t>
      </w:r>
      <w:r>
        <w:rPr>
          <w:rFonts w:hAnsi="宋体" w:cs="宋体"/>
          <w:spacing w:val="-17"/>
          <w:szCs w:val="21"/>
        </w:rPr>
        <w:t>、</w:t>
      </w:r>
      <w:r>
        <w:rPr>
          <w:rFonts w:hAnsi="宋体" w:cs="宋体"/>
          <w:szCs w:val="21"/>
        </w:rPr>
        <w:t>雨季持续时间</w:t>
      </w:r>
      <w:r>
        <w:rPr>
          <w:rFonts w:hAnsi="宋体" w:cs="宋体"/>
          <w:spacing w:val="-17"/>
          <w:szCs w:val="21"/>
        </w:rPr>
        <w:t>、</w:t>
      </w:r>
      <w:r>
        <w:rPr>
          <w:rFonts w:hAnsi="宋体" w:cs="宋体"/>
          <w:szCs w:val="21"/>
        </w:rPr>
        <w:t>梅雨期</w:t>
      </w:r>
      <w:r>
        <w:rPr>
          <w:rFonts w:hAnsi="宋体" w:cs="宋体"/>
          <w:spacing w:val="-17"/>
          <w:szCs w:val="21"/>
        </w:rPr>
        <w:t>、</w:t>
      </w:r>
      <w:r>
        <w:rPr>
          <w:rFonts w:hAnsi="宋体" w:cs="宋体"/>
          <w:szCs w:val="21"/>
        </w:rPr>
        <w:t>年极端气温</w:t>
      </w:r>
      <w:r>
        <w:rPr>
          <w:rFonts w:hAnsi="宋体" w:cs="宋体"/>
          <w:spacing w:val="-16"/>
          <w:szCs w:val="21"/>
        </w:rPr>
        <w:t>、</w:t>
      </w:r>
      <w:r>
        <w:rPr>
          <w:rFonts w:hAnsi="宋体" w:cs="宋体"/>
          <w:szCs w:val="21"/>
        </w:rPr>
        <w:t>高温持续时间及土质 特征等</w:t>
      </w:r>
      <w:r>
        <w:rPr>
          <w:rFonts w:hAnsi="宋体" w:cs="宋体"/>
          <w:spacing w:val="-24"/>
          <w:szCs w:val="21"/>
        </w:rPr>
        <w:t>。</w:t>
      </w:r>
    </w:p>
    <w:p w14:paraId="243857CF">
      <w:pPr>
        <w:pStyle w:val="105"/>
        <w:numPr>
          <w:ilvl w:val="2"/>
          <w:numId w:val="0"/>
        </w:numPr>
        <w:spacing w:before="156" w:after="156"/>
        <w:rPr>
          <w:rFonts w:hAnsi="黑体" w:cs="黑体"/>
          <w:szCs w:val="21"/>
        </w:rPr>
      </w:pPr>
      <w:bookmarkStart w:id="64" w:name="_Toc180078180"/>
      <w:r>
        <w:rPr>
          <w:rFonts w:hint="eastAsia" w:hAnsi="黑体" w:cs="黑体"/>
          <w:szCs w:val="21"/>
          <w:lang w:val="en-US" w:eastAsia="zh-CN"/>
        </w:rPr>
        <w:t xml:space="preserve">7.2 </w:t>
      </w:r>
      <w:r>
        <w:rPr>
          <w:rFonts w:hAnsi="黑体" w:cs="黑体"/>
          <w:szCs w:val="21"/>
        </w:rPr>
        <w:t>交通状况</w:t>
      </w:r>
      <w:bookmarkEnd w:id="64"/>
    </w:p>
    <w:p w14:paraId="48927C7F">
      <w:pPr>
        <w:pStyle w:val="65"/>
        <w:spacing w:before="156" w:after="156"/>
        <w:rPr>
          <w:rFonts w:ascii="宋体" w:hAnsi="宋体" w:eastAsia="宋体" w:cs="宋体"/>
          <w:spacing w:val="-10"/>
          <w:szCs w:val="21"/>
        </w:rPr>
      </w:pPr>
      <w:r>
        <w:rPr>
          <w:rFonts w:ascii="宋体" w:hAnsi="宋体" w:eastAsia="宋体" w:cs="宋体"/>
          <w:szCs w:val="21"/>
        </w:rPr>
        <w:t>根据高速公路互通</w:t>
      </w:r>
      <w:r>
        <w:rPr>
          <w:rFonts w:ascii="宋体" w:hAnsi="宋体" w:eastAsia="宋体" w:cs="宋体"/>
          <w:spacing w:val="-10"/>
          <w:szCs w:val="21"/>
        </w:rPr>
        <w:t>、</w:t>
      </w:r>
      <w:r>
        <w:rPr>
          <w:rFonts w:ascii="宋体" w:hAnsi="宋体" w:eastAsia="宋体" w:cs="宋体"/>
          <w:szCs w:val="21"/>
        </w:rPr>
        <w:t>枢纽分布特征划分交通断面</w:t>
      </w:r>
      <w:r>
        <w:rPr>
          <w:rFonts w:ascii="宋体" w:hAnsi="宋体" w:eastAsia="宋体" w:cs="宋体"/>
          <w:spacing w:val="-10"/>
          <w:szCs w:val="21"/>
        </w:rPr>
        <w:t>，</w:t>
      </w:r>
      <w:r>
        <w:rPr>
          <w:rFonts w:ascii="宋体" w:hAnsi="宋体" w:eastAsia="宋体" w:cs="宋体"/>
          <w:szCs w:val="21"/>
        </w:rPr>
        <w:t>调查各交通断面的交通状况</w:t>
      </w:r>
      <w:r>
        <w:rPr>
          <w:rFonts w:ascii="宋体" w:hAnsi="宋体" w:eastAsia="宋体" w:cs="宋体"/>
          <w:spacing w:val="-10"/>
          <w:szCs w:val="21"/>
        </w:rPr>
        <w:t>。</w:t>
      </w:r>
    </w:p>
    <w:p w14:paraId="61AAD456">
      <w:pPr>
        <w:pStyle w:val="65"/>
        <w:spacing w:before="156" w:after="156"/>
        <w:rPr>
          <w:rFonts w:ascii="宋体" w:hAnsi="宋体" w:eastAsia="宋体" w:cs="宋体"/>
          <w:spacing w:val="-7"/>
          <w:szCs w:val="21"/>
        </w:rPr>
      </w:pPr>
      <w:r>
        <w:rPr>
          <w:rFonts w:ascii="宋体" w:hAnsi="宋体" w:eastAsia="宋体" w:cs="宋体"/>
          <w:szCs w:val="21"/>
        </w:rPr>
        <w:t>交通状况数据包括车辆组成</w:t>
      </w:r>
      <w:r>
        <w:rPr>
          <w:rFonts w:ascii="宋体" w:hAnsi="宋体" w:eastAsia="宋体" w:cs="宋体"/>
          <w:spacing w:val="-7"/>
          <w:szCs w:val="21"/>
        </w:rPr>
        <w:t>、</w:t>
      </w:r>
      <w:r>
        <w:rPr>
          <w:rFonts w:ascii="宋体" w:hAnsi="宋体" w:eastAsia="宋体" w:cs="宋体"/>
          <w:szCs w:val="21"/>
        </w:rPr>
        <w:t>轴载分布及年交通量等</w:t>
      </w:r>
      <w:r>
        <w:rPr>
          <w:rFonts w:ascii="宋体" w:hAnsi="宋体" w:eastAsia="宋体" w:cs="宋体"/>
          <w:spacing w:val="-7"/>
          <w:szCs w:val="21"/>
        </w:rPr>
        <w:t>。</w:t>
      </w:r>
      <w:r>
        <w:rPr>
          <w:rFonts w:ascii="宋体" w:hAnsi="宋体" w:eastAsia="宋体" w:cs="宋体"/>
          <w:szCs w:val="21"/>
        </w:rPr>
        <w:t>数据统计至少为近 3 年</w:t>
      </w:r>
      <w:r>
        <w:rPr>
          <w:rFonts w:ascii="宋体" w:hAnsi="宋体" w:eastAsia="宋体" w:cs="宋体"/>
          <w:spacing w:val="-7"/>
          <w:szCs w:val="21"/>
        </w:rPr>
        <w:t>。</w:t>
      </w:r>
    </w:p>
    <w:p w14:paraId="19D0CFB4">
      <w:pPr>
        <w:pStyle w:val="105"/>
        <w:numPr>
          <w:ilvl w:val="2"/>
          <w:numId w:val="0"/>
        </w:numPr>
        <w:spacing w:before="156" w:after="156"/>
        <w:rPr>
          <w:rFonts w:hint="eastAsia" w:hAnsi="黑体" w:cs="黑体"/>
          <w:szCs w:val="21"/>
          <w:lang w:val="en-US" w:eastAsia="zh-CN"/>
        </w:rPr>
      </w:pPr>
      <w:bookmarkStart w:id="65" w:name="_Toc180078181"/>
      <w:r>
        <w:rPr>
          <w:rFonts w:hint="eastAsia" w:hAnsi="黑体" w:cs="黑体"/>
          <w:szCs w:val="21"/>
          <w:lang w:val="en-US" w:eastAsia="zh-CN"/>
        </w:rPr>
        <w:t>7.3 路面技术状况检测及评定</w:t>
      </w:r>
      <w:bookmarkEnd w:id="65"/>
    </w:p>
    <w:p w14:paraId="2E23ECA5">
      <w:pPr>
        <w:pStyle w:val="65"/>
        <w:spacing w:before="156" w:after="156"/>
        <w:rPr>
          <w:rFonts w:ascii="宋体" w:hAnsi="宋体" w:eastAsia="宋体" w:cs="宋体"/>
          <w:szCs w:val="21"/>
        </w:rPr>
      </w:pPr>
      <w:r>
        <w:rPr>
          <w:rFonts w:ascii="宋体" w:hAnsi="宋体" w:eastAsia="宋体" w:cs="宋体"/>
          <w:szCs w:val="21"/>
        </w:rPr>
        <w:t>检测指标包括 PQIs 及各分项指标 PCIs、RQIs、RDIs、SRI、PSSI。</w:t>
      </w:r>
    </w:p>
    <w:p w14:paraId="191843BB">
      <w:pPr>
        <w:pStyle w:val="65"/>
        <w:spacing w:before="156" w:after="156"/>
      </w:pPr>
      <w:r>
        <w:rPr>
          <w:rFonts w:ascii="宋体" w:hAnsi="宋体" w:eastAsia="宋体" w:cs="宋体"/>
          <w:szCs w:val="21"/>
        </w:rPr>
        <w:t>PSSI</w:t>
      </w:r>
      <w:r>
        <w:rPr>
          <w:rFonts w:ascii="宋体" w:hAnsi="宋体" w:eastAsia="宋体" w:cs="宋体"/>
          <w:spacing w:val="-2"/>
          <w:szCs w:val="21"/>
        </w:rPr>
        <w:t xml:space="preserve"> </w:t>
      </w:r>
      <w:r>
        <w:rPr>
          <w:rFonts w:ascii="宋体" w:hAnsi="宋体" w:eastAsia="宋体" w:cs="宋体"/>
          <w:szCs w:val="21"/>
        </w:rPr>
        <w:t>的检测方法及评定标准见</w:t>
      </w:r>
      <w:r>
        <w:rPr>
          <w:rFonts w:ascii="宋体" w:hAnsi="宋体" w:eastAsia="宋体" w:cs="宋体"/>
          <w:spacing w:val="-1"/>
          <w:szCs w:val="21"/>
        </w:rPr>
        <w:t xml:space="preserve"> </w:t>
      </w:r>
      <w:r>
        <w:rPr>
          <w:rFonts w:ascii="宋体" w:hAnsi="宋体" w:eastAsia="宋体" w:cs="宋体"/>
          <w:szCs w:val="21"/>
        </w:rPr>
        <w:t>JTG</w:t>
      </w:r>
      <w:r>
        <w:rPr>
          <w:rFonts w:ascii="宋体" w:hAnsi="宋体" w:eastAsia="宋体" w:cs="宋体"/>
          <w:spacing w:val="-1"/>
          <w:szCs w:val="21"/>
        </w:rPr>
        <w:t xml:space="preserve"> </w:t>
      </w:r>
      <w:r>
        <w:rPr>
          <w:rFonts w:ascii="宋体" w:hAnsi="宋体" w:eastAsia="宋体" w:cs="宋体"/>
          <w:szCs w:val="21"/>
        </w:rPr>
        <w:t>H20</w:t>
      </w:r>
      <w:r>
        <w:rPr>
          <w:rFonts w:ascii="宋体" w:hAnsi="宋体" w:eastAsia="宋体" w:cs="宋体"/>
          <w:spacing w:val="-105"/>
          <w:szCs w:val="21"/>
        </w:rPr>
        <w:t>。</w:t>
      </w:r>
    </w:p>
    <w:p w14:paraId="02BDA374">
      <w:pPr>
        <w:pStyle w:val="65"/>
        <w:spacing w:before="156" w:after="156"/>
        <w:rPr>
          <w:rFonts w:ascii="宋体" w:hAnsi="宋体" w:eastAsia="宋体" w:cs="宋体"/>
          <w:szCs w:val="21"/>
        </w:rPr>
      </w:pPr>
      <w:r>
        <w:rPr>
          <w:rFonts w:hint="eastAsia" w:ascii="宋体" w:hAnsi="宋体" w:eastAsia="宋体" w:cs="宋体"/>
          <w:szCs w:val="21"/>
          <w:lang w:val="en-US" w:eastAsia="zh-CN"/>
        </w:rPr>
        <w:t xml:space="preserve"> </w:t>
      </w:r>
      <w:r>
        <w:rPr>
          <w:rFonts w:ascii="宋体" w:hAnsi="宋体" w:eastAsia="宋体" w:cs="宋体"/>
          <w:szCs w:val="21"/>
        </w:rPr>
        <w:t>PQIs 及分项指标 PCIs、RQIs、RDIs、SRI 的检测方法和评定标准见 DB34/T 2748.1。</w:t>
      </w:r>
    </w:p>
    <w:p w14:paraId="3257C43E">
      <w:pPr>
        <w:pStyle w:val="65"/>
        <w:spacing w:before="156" w:after="156"/>
        <w:rPr>
          <w:rFonts w:ascii="宋体" w:hAnsi="宋体" w:eastAsia="宋体" w:cs="宋体"/>
          <w:szCs w:val="21"/>
        </w:rPr>
      </w:pPr>
      <w:r>
        <w:rPr>
          <w:rFonts w:ascii="宋体" w:hAnsi="宋体" w:eastAsia="宋体" w:cs="宋体"/>
          <w:szCs w:val="21"/>
        </w:rPr>
        <w:t>检测时间应尽可能接近养护设计时间， 间隔时间不宜超过6个月。</w:t>
      </w:r>
    </w:p>
    <w:p w14:paraId="2E22F130">
      <w:pPr>
        <w:pStyle w:val="104"/>
        <w:spacing w:before="312" w:after="312"/>
        <w:rPr>
          <w:rFonts w:hAnsi="黑体" w:cs="黑体"/>
          <w:szCs w:val="21"/>
        </w:rPr>
      </w:pPr>
      <w:bookmarkStart w:id="66" w:name="_Toc180078182"/>
      <w:r>
        <w:rPr>
          <w:rFonts w:hAnsi="黑体" w:cs="黑体"/>
          <w:szCs w:val="21"/>
        </w:rPr>
        <w:t>路面状况分析与养护路段筛选</w:t>
      </w:r>
      <w:bookmarkEnd w:id="66"/>
    </w:p>
    <w:p w14:paraId="4C355F77">
      <w:pPr>
        <w:pStyle w:val="105"/>
        <w:numPr>
          <w:ilvl w:val="2"/>
          <w:numId w:val="0"/>
        </w:numPr>
        <w:spacing w:before="156" w:after="156"/>
      </w:pPr>
      <w:bookmarkStart w:id="67" w:name="_Toc180078183"/>
      <w:r>
        <w:rPr>
          <w:rFonts w:hint="eastAsia" w:hAnsi="黑体" w:cs="黑体"/>
          <w:szCs w:val="21"/>
          <w:lang w:val="en-US" w:eastAsia="zh-CN"/>
        </w:rPr>
        <w:t xml:space="preserve">8.1 </w:t>
      </w:r>
      <w:r>
        <w:rPr>
          <w:rFonts w:hAnsi="黑体" w:cs="黑体"/>
          <w:szCs w:val="21"/>
        </w:rPr>
        <w:t>路面状况分析</w:t>
      </w:r>
      <w:bookmarkEnd w:id="67"/>
    </w:p>
    <w:p w14:paraId="644F2879">
      <w:pPr>
        <w:pStyle w:val="65"/>
        <w:spacing w:before="156" w:after="156"/>
        <w:rPr>
          <w:rFonts w:hAnsi="黑体" w:cs="黑体"/>
          <w:szCs w:val="21"/>
        </w:rPr>
      </w:pPr>
      <w:r>
        <w:rPr>
          <w:rFonts w:hAnsi="黑体" w:cs="黑体"/>
          <w:szCs w:val="21"/>
        </w:rPr>
        <w:t>基础资料分析</w:t>
      </w:r>
    </w:p>
    <w:p w14:paraId="640549E0">
      <w:pPr>
        <w:pStyle w:val="94"/>
        <w:spacing w:before="156" w:after="156"/>
        <w:rPr>
          <w:rFonts w:ascii="宋体" w:hAnsi="宋体" w:eastAsia="宋体" w:cs="宋体"/>
          <w:spacing w:val="-9"/>
          <w:szCs w:val="21"/>
        </w:rPr>
      </w:pPr>
      <w:r>
        <w:rPr>
          <w:rFonts w:ascii="宋体" w:hAnsi="宋体" w:eastAsia="宋体" w:cs="宋体"/>
          <w:szCs w:val="21"/>
        </w:rPr>
        <w:t>确定项目所在气候分区</w:t>
      </w:r>
      <w:r>
        <w:rPr>
          <w:rFonts w:ascii="宋体" w:hAnsi="宋体" w:eastAsia="宋体" w:cs="宋体"/>
          <w:spacing w:val="-9"/>
          <w:szCs w:val="21"/>
        </w:rPr>
        <w:t>，</w:t>
      </w:r>
      <w:r>
        <w:rPr>
          <w:rFonts w:ascii="宋体" w:hAnsi="宋体" w:eastAsia="宋体" w:cs="宋体"/>
          <w:szCs w:val="21"/>
        </w:rPr>
        <w:t>分析不良土质的不利影响</w:t>
      </w:r>
      <w:r>
        <w:rPr>
          <w:rFonts w:ascii="宋体" w:hAnsi="宋体" w:eastAsia="宋体" w:cs="宋体"/>
          <w:spacing w:val="-9"/>
          <w:szCs w:val="21"/>
        </w:rPr>
        <w:t>。</w:t>
      </w:r>
    </w:p>
    <w:p w14:paraId="0BB29B08">
      <w:pPr>
        <w:pStyle w:val="94"/>
        <w:spacing w:before="156" w:after="156"/>
        <w:rPr>
          <w:rFonts w:ascii="宋体" w:hAnsi="宋体" w:eastAsia="宋体" w:cs="宋体"/>
          <w:spacing w:val="-19"/>
          <w:szCs w:val="21"/>
        </w:rPr>
      </w:pPr>
      <w:r>
        <w:rPr>
          <w:rFonts w:ascii="宋体" w:hAnsi="宋体" w:eastAsia="宋体" w:cs="宋体"/>
          <w:szCs w:val="21"/>
        </w:rPr>
        <w:t>总结往年路面使用状况及有效的养护措施</w:t>
      </w:r>
      <w:r>
        <w:rPr>
          <w:rFonts w:ascii="宋体" w:hAnsi="宋体" w:eastAsia="宋体" w:cs="宋体"/>
          <w:spacing w:val="-19"/>
          <w:szCs w:val="21"/>
        </w:rPr>
        <w:t>。</w:t>
      </w:r>
    </w:p>
    <w:p w14:paraId="74B14114">
      <w:pPr>
        <w:pStyle w:val="65"/>
        <w:spacing w:before="156" w:after="156"/>
        <w:rPr>
          <w:rFonts w:hAnsi="黑体" w:cs="黑体"/>
          <w:szCs w:val="21"/>
        </w:rPr>
      </w:pPr>
      <w:r>
        <w:rPr>
          <w:rFonts w:hAnsi="黑体" w:cs="黑体"/>
          <w:szCs w:val="21"/>
        </w:rPr>
        <w:t>交通状况分析</w:t>
      </w:r>
    </w:p>
    <w:p w14:paraId="499F4697">
      <w:pPr>
        <w:pStyle w:val="94"/>
        <w:spacing w:before="156" w:after="156"/>
        <w:rPr>
          <w:rFonts w:ascii="宋体" w:hAnsi="宋体" w:eastAsia="宋体" w:cs="宋体"/>
          <w:szCs w:val="21"/>
        </w:rPr>
      </w:pPr>
      <w:r>
        <w:rPr>
          <w:rFonts w:hint="eastAsia" w:ascii="宋体" w:hAnsi="宋体" w:eastAsia="宋体" w:cs="宋体"/>
          <w:szCs w:val="21"/>
        </w:rPr>
        <w:t>计算车型比例、轴载比例、年平均日交通量级年增长率等指标。</w:t>
      </w:r>
    </w:p>
    <w:p w14:paraId="0A6AFE9C">
      <w:pPr>
        <w:pStyle w:val="94"/>
        <w:spacing w:before="156" w:after="156"/>
        <w:rPr>
          <w:rFonts w:ascii="宋体" w:hAnsi="宋体" w:eastAsia="宋体" w:cs="宋体"/>
          <w:szCs w:val="21"/>
        </w:rPr>
      </w:pPr>
      <w:r>
        <w:rPr>
          <w:rFonts w:hint="eastAsia" w:ascii="宋体" w:hAnsi="宋体" w:eastAsia="宋体" w:cs="宋体"/>
          <w:szCs w:val="21"/>
        </w:rPr>
        <w:t>根据车型比例和轴载比例分析重载车辆对路面影响的权重。</w:t>
      </w:r>
    </w:p>
    <w:p w14:paraId="6873D8F9">
      <w:pPr>
        <w:pStyle w:val="94"/>
        <w:spacing w:before="156" w:after="156"/>
        <w:rPr>
          <w:rFonts w:ascii="宋体" w:hAnsi="宋体" w:eastAsia="宋体" w:cs="宋体"/>
          <w:szCs w:val="21"/>
        </w:rPr>
      </w:pPr>
      <w:r>
        <w:rPr>
          <w:rFonts w:ascii="宋体" w:hAnsi="宋体" w:eastAsia="宋体" w:cs="宋体"/>
          <w:szCs w:val="21"/>
        </w:rPr>
        <w:t xml:space="preserve"> </w:t>
      </w:r>
      <w:r>
        <w:rPr>
          <w:rFonts w:hint="eastAsia" w:ascii="宋体" w:hAnsi="宋体" w:eastAsia="宋体" w:cs="宋体"/>
          <w:szCs w:val="21"/>
        </w:rPr>
        <w:t>根据年平均日交通量和年增长率分析交通变化及发展趋势。</w:t>
      </w:r>
    </w:p>
    <w:p w14:paraId="0051A2A5">
      <w:pPr>
        <w:pStyle w:val="65"/>
        <w:numPr>
          <w:ilvl w:val="3"/>
          <w:numId w:val="0"/>
        </w:numPr>
        <w:spacing w:before="156" w:after="156"/>
      </w:pPr>
      <w:r>
        <w:rPr>
          <w:rFonts w:hint="eastAsia" w:hAnsi="黑体" w:cs="黑体"/>
          <w:szCs w:val="21"/>
          <w:lang w:val="en-US" w:eastAsia="zh-CN"/>
        </w:rPr>
        <w:t xml:space="preserve">8.1.3 </w:t>
      </w:r>
      <w:r>
        <w:rPr>
          <w:rFonts w:hAnsi="黑体" w:cs="黑体"/>
          <w:szCs w:val="21"/>
        </w:rPr>
        <w:t>路面技术状况分析</w:t>
      </w:r>
    </w:p>
    <w:p w14:paraId="6751FA4B">
      <w:pPr>
        <w:pStyle w:val="94"/>
        <w:numPr>
          <w:ilvl w:val="4"/>
          <w:numId w:val="0"/>
        </w:numPr>
        <w:spacing w:before="156" w:after="156"/>
        <w:ind w:leftChars="0"/>
        <w:rPr>
          <w:rFonts w:hint="eastAsia" w:ascii="宋体" w:hAnsi="宋体" w:eastAsia="宋体" w:cs="宋体"/>
          <w:szCs w:val="21"/>
        </w:rPr>
      </w:pPr>
      <w:r>
        <w:rPr>
          <w:rFonts w:hint="eastAsia" w:ascii="黑体" w:hAnsi="Times New Roman" w:eastAsia="黑体" w:cs="Times New Roman"/>
          <w:sz w:val="21"/>
          <w:lang w:val="en-US" w:eastAsia="zh-CN" w:bidi="ar-SA"/>
        </w:rPr>
        <w:t>8.1.3.1</w:t>
      </w:r>
      <w:r>
        <w:rPr>
          <w:rFonts w:hint="eastAsia" w:ascii="宋体" w:hAnsi="宋体" w:eastAsia="宋体" w:cs="宋体"/>
          <w:b w:val="0"/>
          <w:bCs w:val="0"/>
          <w:szCs w:val="21"/>
        </w:rPr>
        <w:t xml:space="preserve"> </w:t>
      </w:r>
      <w:r>
        <w:rPr>
          <w:rFonts w:hint="eastAsia" w:ascii="宋体" w:hAnsi="宋体" w:eastAsia="宋体" w:cs="宋体"/>
          <w:szCs w:val="21"/>
        </w:rPr>
        <w:t>以路面技术状态指标为单元，统计各评定等级路面所占比例，分析路面技术状况。</w:t>
      </w:r>
    </w:p>
    <w:p w14:paraId="63952A09">
      <w:pPr>
        <w:pStyle w:val="94"/>
        <w:numPr>
          <w:ilvl w:val="4"/>
          <w:numId w:val="0"/>
        </w:numPr>
        <w:spacing w:before="156" w:after="156"/>
        <w:ind w:leftChars="0"/>
        <w:rPr>
          <w:rFonts w:hint="eastAsia" w:ascii="宋体" w:hAnsi="宋体" w:eastAsia="宋体" w:cs="宋体"/>
          <w:szCs w:val="21"/>
        </w:rPr>
      </w:pPr>
      <w:r>
        <w:rPr>
          <w:rFonts w:hint="eastAsia" w:ascii="黑体" w:hAnsi="Times New Roman" w:eastAsia="黑体" w:cs="Times New Roman"/>
          <w:sz w:val="21"/>
          <w:lang w:val="en-US" w:eastAsia="zh-CN" w:bidi="ar-SA"/>
        </w:rPr>
        <w:t>8.1.3.2</w:t>
      </w:r>
      <w:r>
        <w:rPr>
          <w:rFonts w:hint="eastAsia" w:ascii="宋体" w:hAnsi="宋体" w:eastAsia="宋体" w:cs="宋体"/>
          <w:szCs w:val="21"/>
        </w:rPr>
        <w:t xml:space="preserve"> 宜分幅、分车道对路面技术状况进行统计。</w:t>
      </w:r>
    </w:p>
    <w:p w14:paraId="13BD95FD">
      <w:pPr>
        <w:pStyle w:val="94"/>
        <w:keepNext w:val="0"/>
        <w:keepLines w:val="0"/>
        <w:pageBreakBefore w:val="0"/>
        <w:widowControl/>
        <w:numPr>
          <w:ilvl w:val="4"/>
          <w:numId w:val="0"/>
        </w:numPr>
        <w:kinsoku/>
        <w:wordWrap/>
        <w:overflowPunct/>
        <w:topLinePunct w:val="0"/>
        <w:autoSpaceDE/>
        <w:autoSpaceDN/>
        <w:bidi w:val="0"/>
        <w:adjustRightInd/>
        <w:snapToGrid/>
        <w:spacing w:before="156" w:after="0" w:afterLines="0" w:line="360" w:lineRule="auto"/>
        <w:ind w:leftChars="0"/>
        <w:textAlignment w:val="auto"/>
        <w:rPr>
          <w:rFonts w:hint="eastAsia" w:ascii="宋体" w:hAnsi="宋体" w:eastAsia="宋体" w:cs="宋体"/>
          <w:szCs w:val="21"/>
        </w:rPr>
      </w:pPr>
      <w:r>
        <w:rPr>
          <w:rFonts w:hint="eastAsia" w:ascii="黑体" w:hAnsi="Times New Roman" w:eastAsia="黑体" w:cs="Times New Roman"/>
          <w:sz w:val="21"/>
          <w:lang w:val="en-US" w:eastAsia="zh-CN" w:bidi="ar-SA"/>
        </w:rPr>
        <w:t>8.1.3.3</w:t>
      </w:r>
      <w:r>
        <w:rPr>
          <w:rFonts w:hint="eastAsia" w:ascii="宋体" w:hAnsi="宋体" w:eastAsia="宋体" w:cs="宋体"/>
          <w:szCs w:val="21"/>
        </w:rPr>
        <w:t xml:space="preserve"> 对路面</w:t>
      </w:r>
      <w:r>
        <w:rPr>
          <w:rFonts w:hint="eastAsia" w:ascii="宋体" w:hAnsi="宋体" w:eastAsia="宋体" w:cs="宋体"/>
          <w:szCs w:val="21"/>
          <w:lang w:val="en-US" w:eastAsia="zh-CN"/>
        </w:rPr>
        <w:t>整体</w:t>
      </w:r>
      <w:r>
        <w:rPr>
          <w:rFonts w:hint="eastAsia" w:ascii="宋体" w:hAnsi="宋体" w:eastAsia="宋体" w:cs="宋体"/>
          <w:szCs w:val="21"/>
        </w:rPr>
        <w:t>技术状态进行分析，依据路面技术状况指标、现场复核情况及历史养护经验，初步选定各路段拟养护段落的过程，</w:t>
      </w:r>
      <w:r>
        <w:rPr>
          <w:rFonts w:hint="eastAsia" w:ascii="宋体" w:hAnsi="宋体" w:eastAsia="宋体" w:cs="宋体"/>
          <w:szCs w:val="21"/>
          <w:lang w:val="en-US" w:eastAsia="zh-CN"/>
        </w:rPr>
        <w:t>按照</w:t>
      </w:r>
      <w:r>
        <w:rPr>
          <w:rFonts w:hint="eastAsia" w:ascii="宋体" w:hAnsi="宋体" w:eastAsia="宋体" w:cs="宋体"/>
          <w:szCs w:val="21"/>
        </w:rPr>
        <w:t>综合指标筛选</w:t>
      </w:r>
      <w:r>
        <w:rPr>
          <w:rFonts w:hint="eastAsia" w:ascii="宋体" w:hAnsi="宋体" w:eastAsia="宋体" w:cs="宋体"/>
          <w:szCs w:val="21"/>
          <w:lang w:eastAsia="zh-CN"/>
        </w:rPr>
        <w:t>、</w:t>
      </w:r>
      <w:r>
        <w:rPr>
          <w:rFonts w:hint="eastAsia" w:ascii="宋体" w:hAnsi="宋体" w:eastAsia="宋体" w:cs="宋体"/>
          <w:szCs w:val="21"/>
        </w:rPr>
        <w:t>单指标筛选和复核与调整三个步骤，了解路面整体使用性能。</w:t>
      </w:r>
    </w:p>
    <w:p w14:paraId="3E8EB391">
      <w:pPr>
        <w:pStyle w:val="94"/>
        <w:keepNext w:val="0"/>
        <w:keepLines w:val="0"/>
        <w:pageBreakBefore w:val="0"/>
        <w:widowControl/>
        <w:numPr>
          <w:ilvl w:val="4"/>
          <w:numId w:val="0"/>
        </w:numPr>
        <w:kinsoku/>
        <w:wordWrap/>
        <w:overflowPunct/>
        <w:topLinePunct w:val="0"/>
        <w:autoSpaceDE/>
        <w:autoSpaceDN/>
        <w:bidi w:val="0"/>
        <w:adjustRightInd/>
        <w:snapToGrid/>
        <w:spacing w:before="0" w:beforeLines="0" w:after="156" w:line="360" w:lineRule="auto"/>
        <w:ind w:leftChars="0"/>
        <w:textAlignment w:val="auto"/>
        <w:rPr>
          <w:rFonts w:hint="eastAsia" w:ascii="宋体" w:hAnsi="宋体" w:eastAsia="宋体" w:cs="宋体"/>
          <w:szCs w:val="21"/>
          <w:lang w:val="en-US" w:eastAsia="zh-CN"/>
        </w:rPr>
      </w:pPr>
      <w:r>
        <w:rPr>
          <w:rFonts w:hint="eastAsia" w:ascii="黑体" w:hAnsi="Times New Roman" w:eastAsia="黑体" w:cs="Times New Roman"/>
          <w:sz w:val="21"/>
          <w:lang w:val="en-US" w:eastAsia="zh-CN" w:bidi="ar-SA"/>
        </w:rPr>
        <w:t>8.1.3.4</w:t>
      </w:r>
      <w:r>
        <w:rPr>
          <w:rFonts w:hint="eastAsia" w:ascii="宋体" w:hAnsi="宋体" w:eastAsia="宋体" w:cs="宋体"/>
          <w:szCs w:val="21"/>
          <w:lang w:val="en-US" w:eastAsia="zh-CN"/>
        </w:rPr>
        <w:t xml:space="preserve"> 路面指标的筛选涵盖所有检测车道。综合指标筛选主要包括：PQI≤90、PCI≤92的评定单元，</w:t>
      </w:r>
      <w:r>
        <w:t>PCIs</w:t>
      </w:r>
      <w:r>
        <w:rPr>
          <w:rFonts w:hint="eastAsia" w:ascii="宋体" w:hAnsi="宋体" w:eastAsia="宋体" w:cs="宋体"/>
          <w:szCs w:val="21"/>
          <w:lang w:val="en-US" w:eastAsia="zh-CN"/>
        </w:rPr>
        <w:t>≤80的段落列入筛选段落。满足综合指标的段落，还要进行单指标筛选，单指标筛选以100m长度为最小单元筛选，主要包括：RD≥8mm、SFC≤48、IRI≥2.2；将超过200m的段落列入筛选段落。</w:t>
      </w:r>
    </w:p>
    <w:p w14:paraId="53F7B10A">
      <w:pPr>
        <w:pStyle w:val="94"/>
        <w:keepNext w:val="0"/>
        <w:keepLines w:val="0"/>
        <w:pageBreakBefore w:val="0"/>
        <w:widowControl/>
        <w:numPr>
          <w:ilvl w:val="4"/>
          <w:numId w:val="0"/>
        </w:numPr>
        <w:kinsoku/>
        <w:wordWrap/>
        <w:overflowPunct/>
        <w:topLinePunct w:val="0"/>
        <w:autoSpaceDE/>
        <w:autoSpaceDN/>
        <w:bidi w:val="0"/>
        <w:adjustRightInd/>
        <w:snapToGrid/>
        <w:spacing w:before="0" w:beforeLines="0" w:after="156" w:line="360" w:lineRule="auto"/>
        <w:ind w:leftChars="0"/>
        <w:textAlignment w:val="auto"/>
        <w:rPr>
          <w:rFonts w:hint="default" w:ascii="宋体" w:hAnsi="宋体" w:eastAsia="宋体" w:cs="宋体"/>
          <w:szCs w:val="21"/>
          <w:lang w:val="en-US" w:eastAsia="zh-CN"/>
        </w:rPr>
      </w:pPr>
      <w:r>
        <w:rPr>
          <w:rFonts w:hint="eastAsia" w:ascii="黑体" w:hAnsi="Times New Roman" w:eastAsia="黑体" w:cs="Times New Roman"/>
          <w:sz w:val="21"/>
          <w:lang w:val="en-US" w:eastAsia="zh-CN" w:bidi="ar-SA"/>
        </w:rPr>
        <w:t xml:space="preserve">8.1.3.5 </w:t>
      </w:r>
      <w:r>
        <w:rPr>
          <w:rFonts w:hint="eastAsia" w:ascii="宋体" w:hAnsi="宋体" w:eastAsia="宋体" w:cs="宋体"/>
          <w:szCs w:val="21"/>
          <w:lang w:val="en-US" w:eastAsia="zh-CN"/>
        </w:rPr>
        <w:t>路面指标的复核与筛选要具有对应性和全面性，优先考虑交通量及轴载高占有率车道，主要复核筛选段落中筛选指标和实际路况是否对应，将其纳入或剔除；对于应急车道、匝道、收费站广场、服务区、拼宽段等特殊路段、如确需养护，将其调整纳入。</w:t>
      </w:r>
    </w:p>
    <w:p w14:paraId="2F6CADF1">
      <w:pPr>
        <w:pStyle w:val="105"/>
        <w:numPr>
          <w:ilvl w:val="2"/>
          <w:numId w:val="0"/>
        </w:numPr>
        <w:spacing w:before="156" w:after="156"/>
        <w:rPr>
          <w:rFonts w:hint="eastAsia" w:hAnsi="黑体" w:cs="黑体"/>
          <w:szCs w:val="21"/>
          <w:lang w:val="en-US" w:eastAsia="zh-CN"/>
        </w:rPr>
      </w:pPr>
      <w:bookmarkStart w:id="68" w:name="_Toc180078184"/>
      <w:r>
        <w:rPr>
          <w:rFonts w:hint="eastAsia" w:hAnsi="黑体" w:cs="黑体"/>
          <w:szCs w:val="21"/>
          <w:lang w:val="en-US" w:eastAsia="zh-CN"/>
        </w:rPr>
        <w:t>8.2 养护路段筛选</w:t>
      </w:r>
      <w:bookmarkEnd w:id="68"/>
    </w:p>
    <w:p w14:paraId="7CB59F92">
      <w:pPr>
        <w:pStyle w:val="65"/>
        <w:numPr>
          <w:ilvl w:val="3"/>
          <w:numId w:val="0"/>
        </w:numPr>
        <w:spacing w:before="156" w:after="156"/>
        <w:ind w:leftChars="0"/>
        <w:rPr>
          <w:rFonts w:ascii="宋体" w:hAnsi="宋体" w:eastAsia="宋体" w:cs="宋体"/>
          <w:szCs w:val="21"/>
        </w:rPr>
      </w:pPr>
      <w:r>
        <w:rPr>
          <w:rFonts w:hint="eastAsia" w:ascii="黑体" w:hAnsi="Times New Roman" w:eastAsia="黑体" w:cs="Times New Roman"/>
          <w:sz w:val="21"/>
          <w:lang w:val="en-US" w:eastAsia="zh-CN" w:bidi="ar-SA"/>
        </w:rPr>
        <w:t>8.2.1</w:t>
      </w:r>
      <w:r>
        <w:rPr>
          <w:rFonts w:hint="eastAsia" w:ascii="宋体" w:hAnsi="宋体" w:eastAsia="宋体" w:cs="宋体"/>
          <w:szCs w:val="21"/>
          <w:lang w:val="en-US" w:eastAsia="zh-CN"/>
        </w:rPr>
        <w:t xml:space="preserve"> </w:t>
      </w:r>
      <w:r>
        <w:rPr>
          <w:rFonts w:ascii="宋体" w:hAnsi="宋体" w:eastAsia="宋体" w:cs="宋体"/>
          <w:szCs w:val="21"/>
        </w:rPr>
        <w:t>根据路面状况分析结果初步筛选养护路段</w:t>
      </w:r>
      <w:r>
        <w:rPr>
          <w:rFonts w:ascii="宋体" w:hAnsi="宋体" w:eastAsia="宋体" w:cs="宋体"/>
          <w:spacing w:val="-36"/>
          <w:szCs w:val="21"/>
        </w:rPr>
        <w:t>。</w:t>
      </w:r>
      <w:r>
        <w:rPr>
          <w:rFonts w:ascii="宋体" w:hAnsi="宋体" w:eastAsia="宋体" w:cs="宋体"/>
          <w:szCs w:val="21"/>
        </w:rPr>
        <w:t>养护路段筛选依据</w:t>
      </w:r>
      <w:r>
        <w:rPr>
          <w:rFonts w:hint="eastAsia" w:ascii="宋体" w:hAnsi="宋体" w:eastAsia="宋体" w:cs="宋体"/>
          <w:szCs w:val="21"/>
        </w:rPr>
        <w:t>如</w:t>
      </w:r>
      <w:r>
        <w:rPr>
          <w:rFonts w:ascii="宋体" w:hAnsi="宋体" w:eastAsia="宋体" w:cs="宋体"/>
          <w:szCs w:val="21"/>
        </w:rPr>
        <w:t>下所示。</w:t>
      </w:r>
    </w:p>
    <w:p w14:paraId="75590C0D">
      <w:pPr>
        <w:pStyle w:val="132"/>
      </w:pPr>
      <w:r>
        <w:t>PSSI＜80</w:t>
      </w:r>
      <w:r>
        <w:rPr>
          <w:spacing w:val="-36"/>
        </w:rPr>
        <w:t>；</w:t>
      </w:r>
    </w:p>
    <w:p w14:paraId="3F8D92BE">
      <w:pPr>
        <w:pStyle w:val="132"/>
      </w:pPr>
      <w:r>
        <w:t>PSSI</w:t>
      </w:r>
      <w:r>
        <w:rPr>
          <w:rFonts w:ascii="Times New Roman" w:eastAsia="Times New Roman"/>
        </w:rPr>
        <w:t>≥</w:t>
      </w:r>
      <w:r>
        <w:t>80</w:t>
      </w:r>
      <w:r>
        <w:rPr>
          <w:spacing w:val="-54"/>
        </w:rPr>
        <w:t>，</w:t>
      </w:r>
      <w:r>
        <w:t>但</w:t>
      </w:r>
      <w:r>
        <w:rPr>
          <w:spacing w:val="-1"/>
        </w:rPr>
        <w:t xml:space="preserve"> </w:t>
      </w:r>
      <w:r>
        <w:t>PQIs</w:t>
      </w:r>
      <w:r>
        <w:rPr>
          <w:spacing w:val="-1"/>
        </w:rPr>
        <w:t xml:space="preserve"> </w:t>
      </w:r>
      <w:r>
        <w:t>及分项指标</w:t>
      </w:r>
      <w:r>
        <w:rPr>
          <w:spacing w:val="-1"/>
        </w:rPr>
        <w:t xml:space="preserve"> </w:t>
      </w:r>
      <w:r>
        <w:t>PCIs</w:t>
      </w:r>
      <w:r>
        <w:rPr>
          <w:spacing w:val="-54"/>
        </w:rPr>
        <w:t>、</w:t>
      </w:r>
      <w:r>
        <w:t>RQIs</w:t>
      </w:r>
      <w:r>
        <w:rPr>
          <w:spacing w:val="-54"/>
        </w:rPr>
        <w:t>、</w:t>
      </w:r>
      <w:r>
        <w:t>RDIs</w:t>
      </w:r>
      <w:r>
        <w:rPr>
          <w:spacing w:val="-54"/>
        </w:rPr>
        <w:t>、</w:t>
      </w:r>
      <w:r>
        <w:t>SRI 小于 90</w:t>
      </w:r>
      <w:r>
        <w:rPr>
          <w:spacing w:val="-54"/>
        </w:rPr>
        <w:t>。</w:t>
      </w:r>
    </w:p>
    <w:p w14:paraId="76E52FA4">
      <w:pPr>
        <w:pStyle w:val="56"/>
        <w:ind w:firstLine="420"/>
        <w:rPr>
          <w:spacing w:val="-4"/>
        </w:rPr>
      </w:pPr>
      <w:r>
        <w:rPr>
          <w:rFonts w:ascii="黑体" w:hAnsi="黑体" w:eastAsia="黑体" w:cs="黑体"/>
        </w:rPr>
        <w:t>注</w:t>
      </w:r>
      <w:r>
        <w:rPr>
          <w:rFonts w:ascii="黑体" w:hAnsi="黑体" w:eastAsia="黑体" w:cs="黑体"/>
          <w:spacing w:val="-4"/>
        </w:rPr>
        <w:t>：</w:t>
      </w:r>
      <w:r>
        <w:rPr>
          <w:rFonts w:ascii="黑体" w:hAnsi="黑体" w:eastAsia="黑体" w:cs="黑体"/>
          <w:spacing w:val="-90"/>
        </w:rPr>
        <w:t xml:space="preserve"> </w:t>
      </w:r>
      <w:r>
        <w:t>PQIs</w:t>
      </w:r>
      <w:r>
        <w:rPr>
          <w:spacing w:val="-1"/>
        </w:rPr>
        <w:t xml:space="preserve"> </w:t>
      </w:r>
      <w:r>
        <w:t>及各分项指标 PCIs</w:t>
      </w:r>
      <w:r>
        <w:rPr>
          <w:spacing w:val="-4"/>
        </w:rPr>
        <w:t>、</w:t>
      </w:r>
      <w:r>
        <w:t>RQIs</w:t>
      </w:r>
      <w:r>
        <w:rPr>
          <w:spacing w:val="-4"/>
        </w:rPr>
        <w:t>、</w:t>
      </w:r>
      <w:r>
        <w:t>RDIs</w:t>
      </w:r>
      <w:r>
        <w:rPr>
          <w:spacing w:val="-4"/>
        </w:rPr>
        <w:t>、</w:t>
      </w:r>
      <w:r>
        <w:t>SRI</w:t>
      </w:r>
      <w:r>
        <w:rPr>
          <w:spacing w:val="-4"/>
        </w:rPr>
        <w:t>、</w:t>
      </w:r>
      <w:r>
        <w:t>PSSI 以 1000 m 路段长度作为基本评定单元</w:t>
      </w:r>
      <w:r>
        <w:rPr>
          <w:spacing w:val="-4"/>
        </w:rPr>
        <w:t>。</w:t>
      </w:r>
    </w:p>
    <w:p w14:paraId="7340FEF0">
      <w:pPr>
        <w:pStyle w:val="56"/>
        <w:ind w:firstLine="420"/>
      </w:pPr>
      <w:r>
        <w:rPr>
          <w:rFonts w:hint="eastAsia"/>
        </w:rPr>
        <w:t>筛选段落中应标明段落方向、起始桩号、原因说明（指标）等。</w:t>
      </w:r>
    </w:p>
    <w:p w14:paraId="34EFE5A4">
      <w:pPr>
        <w:pStyle w:val="65"/>
        <w:keepNext w:val="0"/>
        <w:keepLines w:val="0"/>
        <w:pageBreakBefore w:val="0"/>
        <w:widowControl w:val="0"/>
        <w:numPr>
          <w:ilvl w:val="3"/>
          <w:numId w:val="0"/>
        </w:numPr>
        <w:kinsoku/>
        <w:wordWrap/>
        <w:overflowPunct/>
        <w:topLinePunct w:val="0"/>
        <w:autoSpaceDE/>
        <w:autoSpaceDN/>
        <w:bidi w:val="0"/>
        <w:adjustRightInd/>
        <w:snapToGrid/>
        <w:spacing w:before="156" w:after="156" w:line="360" w:lineRule="auto"/>
        <w:ind w:leftChars="0"/>
        <w:textAlignment w:val="auto"/>
        <w:rPr>
          <w:rFonts w:ascii="宋体" w:hAnsi="宋体" w:eastAsia="宋体" w:cs="宋体"/>
          <w:szCs w:val="21"/>
        </w:rPr>
      </w:pPr>
      <w:r>
        <w:rPr>
          <w:rFonts w:hint="eastAsia" w:ascii="黑体" w:hAnsi="Times New Roman" w:eastAsia="黑体" w:cs="Times New Roman"/>
          <w:sz w:val="21"/>
          <w:lang w:val="en-US" w:eastAsia="zh-CN" w:bidi="ar-SA"/>
        </w:rPr>
        <w:t xml:space="preserve">8.2.2 </w:t>
      </w:r>
      <w:r>
        <w:rPr>
          <w:rFonts w:ascii="宋体" w:hAnsi="宋体" w:eastAsia="宋体" w:cs="宋体"/>
          <w:szCs w:val="21"/>
        </w:rPr>
        <w:t>对初步筛选的养护路段进行现场踏勘核查确认。</w:t>
      </w:r>
      <w:r>
        <w:rPr>
          <w:rFonts w:hint="eastAsia" w:ascii="宋体" w:hAnsi="宋体" w:eastAsia="宋体" w:cs="宋体"/>
          <w:szCs w:val="21"/>
        </w:rPr>
        <w:t>对复核、调整后的各养护段落，应在详细掌握路段及该养护段落养护历史维修资料的基础上，开展专项病害调查，确定病害发展层位、诊断病害产生原因，判断病害发展趋势后进行选择。根据病害发生的层位不同，沥青路面病害可分为路基结构不稳定、基层结构破坏、沥青面层机构破坏及沥青表面层性能衰减等类型，病因诊断分析可参考JTG 5421。</w:t>
      </w:r>
    </w:p>
    <w:p w14:paraId="1B2BF04A">
      <w:pPr>
        <w:pStyle w:val="104"/>
        <w:spacing w:before="312" w:after="312"/>
        <w:rPr>
          <w:rFonts w:hAnsi="黑体" w:cs="黑体"/>
          <w:szCs w:val="21"/>
        </w:rPr>
      </w:pPr>
      <w:bookmarkStart w:id="69" w:name="_Toc180078185"/>
      <w:r>
        <w:rPr>
          <w:rFonts w:hAnsi="黑体" w:cs="黑体"/>
          <w:szCs w:val="21"/>
        </w:rPr>
        <w:t>病害专项检测</w:t>
      </w:r>
      <w:bookmarkEnd w:id="69"/>
    </w:p>
    <w:p w14:paraId="33C141EB">
      <w:pPr>
        <w:pStyle w:val="105"/>
        <w:numPr>
          <w:ilvl w:val="2"/>
          <w:numId w:val="0"/>
        </w:numPr>
        <w:spacing w:before="156" w:after="156"/>
        <w:jc w:val="left"/>
        <w:rPr>
          <w:rFonts w:hint="eastAsia"/>
          <w:lang w:val="en-US" w:eastAsia="zh-CN"/>
        </w:rPr>
      </w:pPr>
      <w:bookmarkStart w:id="70" w:name="_Toc179820032"/>
      <w:bookmarkStart w:id="71" w:name="_Toc180078186"/>
      <w:r>
        <w:rPr>
          <w:rFonts w:hint="eastAsia"/>
          <w:lang w:val="en-US" w:eastAsia="zh-CN"/>
        </w:rPr>
        <w:t>9.1 对典型病害开展专项检测工作。检测方式包括现场踏勘、钻芯取样、实地测量、指标计算及室内 试验。</w:t>
      </w:r>
      <w:bookmarkEnd w:id="70"/>
      <w:bookmarkEnd w:id="71"/>
      <w:r>
        <w:rPr>
          <w:rFonts w:hint="eastAsia"/>
          <w:lang w:val="en-US" w:eastAsia="zh-CN"/>
        </w:rPr>
        <w:t xml:space="preserve"> </w:t>
      </w:r>
    </w:p>
    <w:p w14:paraId="34D08B80">
      <w:pPr>
        <w:pStyle w:val="105"/>
        <w:numPr>
          <w:ilvl w:val="2"/>
          <w:numId w:val="0"/>
        </w:numPr>
        <w:spacing w:before="156" w:after="156"/>
        <w:jc w:val="left"/>
        <w:rPr>
          <w:rFonts w:hint="eastAsia"/>
          <w:lang w:val="en-US" w:eastAsia="zh-CN"/>
        </w:rPr>
      </w:pPr>
      <w:bookmarkStart w:id="72" w:name="_Toc180078187"/>
      <w:bookmarkStart w:id="73" w:name="_Toc179820033"/>
      <w:r>
        <w:rPr>
          <w:rFonts w:hint="eastAsia"/>
          <w:lang w:val="en-US" w:eastAsia="zh-CN"/>
        </w:rPr>
        <w:t>9.2 检测内容应符合表 1 的要求。</w:t>
      </w:r>
      <w:bookmarkEnd w:id="72"/>
      <w:bookmarkEnd w:id="73"/>
    </w:p>
    <w:p w14:paraId="53EB86E4">
      <w:pPr>
        <w:pStyle w:val="152"/>
        <w:spacing w:before="0" w:after="0"/>
        <w:outlineLvl w:val="9"/>
        <w:rPr>
          <w:rFonts w:hint="eastAsia" w:ascii="宋体" w:hAnsi="宋体" w:eastAsia="宋体" w:cs="宋体"/>
          <w:sz w:val="21"/>
          <w:szCs w:val="21"/>
          <w:lang w:val="en-US" w:eastAsia="zh-CN" w:bidi="ar-SA"/>
        </w:rPr>
      </w:pPr>
      <w:bookmarkStart w:id="74" w:name="_Toc179820034"/>
      <w:bookmarkStart w:id="75" w:name="_Toc180078188"/>
      <w:r>
        <w:rPr>
          <w:rFonts w:hint="eastAsia" w:ascii="宋体" w:hAnsi="宋体" w:eastAsia="宋体" w:cs="宋体"/>
          <w:sz w:val="21"/>
          <w:szCs w:val="21"/>
          <w:lang w:val="en-US" w:eastAsia="zh-CN" w:bidi="ar-SA"/>
        </w:rPr>
        <w:t>表1  病害专项检测内容</w:t>
      </w:r>
      <w:bookmarkEnd w:id="74"/>
      <w:bookmarkEnd w:id="75"/>
    </w:p>
    <w:tbl>
      <w:tblPr>
        <w:tblStyle w:val="230"/>
        <w:tblW w:w="9575" w:type="dxa"/>
        <w:tblInd w:w="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3"/>
        <w:gridCol w:w="768"/>
        <w:gridCol w:w="940"/>
        <w:gridCol w:w="1084"/>
        <w:gridCol w:w="1127"/>
        <w:gridCol w:w="758"/>
        <w:gridCol w:w="984"/>
        <w:gridCol w:w="705"/>
        <w:gridCol w:w="2226"/>
      </w:tblGrid>
      <w:tr w14:paraId="76E7AA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983" w:type="dxa"/>
            <w:vMerge w:val="restart"/>
            <w:tcBorders>
              <w:bottom w:val="nil"/>
            </w:tcBorders>
          </w:tcPr>
          <w:p w14:paraId="38BD016F">
            <w:pPr>
              <w:spacing w:line="330" w:lineRule="auto"/>
              <w:rPr>
                <w:rFonts w:ascii="Arial" w:hAnsi="Arial" w:cs="Arial" w:eastAsiaTheme="minorEastAsia"/>
              </w:rPr>
            </w:pPr>
          </w:p>
          <w:p w14:paraId="2B827D73">
            <w:pPr>
              <w:spacing w:before="59" w:line="221" w:lineRule="auto"/>
              <w:ind w:firstLine="136"/>
              <w:rPr>
                <w:rFonts w:ascii="宋体" w:hAnsi="宋体" w:cs="宋体" w:eastAsiaTheme="minorEastAsia"/>
                <w:sz w:val="18"/>
                <w:szCs w:val="18"/>
              </w:rPr>
            </w:pPr>
            <w:r>
              <w:rPr>
                <w:rFonts w:ascii="宋体" w:hAnsi="宋体" w:cs="宋体" w:eastAsiaTheme="minorEastAsia"/>
                <w:spacing w:val="-1"/>
                <w:sz w:val="18"/>
                <w:szCs w:val="18"/>
              </w:rPr>
              <w:t>检测内</w:t>
            </w:r>
            <w:r>
              <w:rPr>
                <w:rFonts w:ascii="宋体" w:hAnsi="宋体" w:cs="宋体" w:eastAsiaTheme="minorEastAsia"/>
                <w:sz w:val="18"/>
                <w:szCs w:val="18"/>
              </w:rPr>
              <w:t>容</w:t>
            </w:r>
          </w:p>
          <w:p w14:paraId="425C11E4">
            <w:pPr>
              <w:tabs>
                <w:tab w:val="left" w:pos="978"/>
              </w:tabs>
              <w:spacing w:before="31" w:line="10" w:lineRule="exact"/>
              <w:ind w:firstLine="974"/>
              <w:rPr>
                <w:rFonts w:ascii="Arial" w:hAnsi="Arial" w:cs="Arial" w:eastAsiaTheme="minorEastAsia"/>
              </w:rPr>
            </w:pPr>
            <w:r>
              <w:rPr>
                <w:rFonts w:ascii="Arial" w:hAnsi="Arial" w:eastAsia="Arial" w:cs="Arial"/>
                <w:position w:val="-7"/>
                <w:shd w:val="clear" w:color="auto" w:fill="000000"/>
              </w:rPr>
              <w:tab/>
            </w:r>
          </w:p>
        </w:tc>
        <w:tc>
          <w:tcPr>
            <w:tcW w:w="5661" w:type="dxa"/>
            <w:gridSpan w:val="6"/>
          </w:tcPr>
          <w:p w14:paraId="61D5ABA8">
            <w:pPr>
              <w:spacing w:before="69" w:line="221" w:lineRule="auto"/>
              <w:ind w:firstLine="2474"/>
              <w:rPr>
                <w:rFonts w:ascii="宋体" w:hAnsi="宋体" w:cs="宋体" w:eastAsiaTheme="minorEastAsia"/>
                <w:sz w:val="18"/>
                <w:szCs w:val="18"/>
              </w:rPr>
            </w:pPr>
            <w:r>
              <w:rPr>
                <w:rFonts w:ascii="宋体" w:hAnsi="宋体" w:cs="宋体" w:eastAsiaTheme="minorEastAsia"/>
                <w:spacing w:val="-1"/>
                <w:sz w:val="18"/>
                <w:szCs w:val="18"/>
              </w:rPr>
              <w:t>病害</w:t>
            </w:r>
            <w:r>
              <w:rPr>
                <w:rFonts w:ascii="宋体" w:hAnsi="宋体" w:cs="宋体" w:eastAsiaTheme="minorEastAsia"/>
                <w:sz w:val="18"/>
                <w:szCs w:val="18"/>
              </w:rPr>
              <w:t>类型</w:t>
            </w:r>
          </w:p>
          <w:p w14:paraId="3E79762F">
            <w:pPr>
              <w:tabs>
                <w:tab w:val="left" w:pos="2793"/>
              </w:tabs>
              <w:spacing w:before="31" w:line="4" w:lineRule="exact"/>
              <w:ind w:firstLine="2784"/>
              <w:rPr>
                <w:rFonts w:ascii="Arial" w:hAnsi="Arial" w:cs="Arial" w:eastAsiaTheme="minorEastAsia"/>
              </w:rPr>
            </w:pPr>
            <w:r>
              <w:rPr>
                <w:rFonts w:ascii="Arial" w:hAnsi="Arial" w:eastAsia="Arial" w:cs="Arial"/>
                <w:position w:val="-7"/>
                <w:shd w:val="clear" w:color="auto" w:fill="000000"/>
              </w:rPr>
              <w:tab/>
            </w:r>
          </w:p>
        </w:tc>
        <w:tc>
          <w:tcPr>
            <w:tcW w:w="705" w:type="dxa"/>
            <w:vMerge w:val="restart"/>
            <w:tcBorders>
              <w:bottom w:val="nil"/>
            </w:tcBorders>
          </w:tcPr>
          <w:p w14:paraId="0873C7AE">
            <w:pPr>
              <w:spacing w:before="237" w:line="221" w:lineRule="auto"/>
              <w:ind w:firstLine="178"/>
              <w:rPr>
                <w:rFonts w:ascii="宋体" w:hAnsi="宋体" w:cs="宋体" w:eastAsiaTheme="minorEastAsia"/>
                <w:sz w:val="18"/>
                <w:szCs w:val="18"/>
              </w:rPr>
            </w:pPr>
            <w:r>
              <w:rPr>
                <w:rFonts w:ascii="宋体" w:hAnsi="宋体" w:cs="宋体" w:eastAsiaTheme="minorEastAsia"/>
                <w:spacing w:val="-1"/>
                <w:sz w:val="18"/>
                <w:szCs w:val="18"/>
              </w:rPr>
              <w:t>检测</w:t>
            </w:r>
          </w:p>
          <w:p w14:paraId="14A6B1B4">
            <w:pPr>
              <w:spacing w:before="96" w:line="232" w:lineRule="auto"/>
              <w:rPr>
                <w:rFonts w:ascii="Arial" w:hAnsi="Arial" w:cs="Arial" w:eastAsiaTheme="minorEastAsia"/>
                <w:sz w:val="17"/>
                <w:szCs w:val="17"/>
              </w:rPr>
            </w:pPr>
            <w:r>
              <w:rPr>
                <w:rFonts w:ascii="宋体" w:hAnsi="宋体" w:cs="宋体" w:eastAsiaTheme="minorEastAsia"/>
                <w:position w:val="5"/>
                <w:sz w:val="17"/>
                <w:szCs w:val="17"/>
              </w:rPr>
              <w:drawing>
                <wp:inline distT="0" distB="0" distL="0" distR="0">
                  <wp:extent cx="17145" cy="17145"/>
                  <wp:effectExtent l="0" t="0" r="0" b="0"/>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7145" cy="17145"/>
                          </a:xfrm>
                          <a:prstGeom prst="rect">
                            <a:avLst/>
                          </a:prstGeom>
                          <a:noFill/>
                          <a:ln>
                            <a:noFill/>
                          </a:ln>
                        </pic:spPr>
                      </pic:pic>
                    </a:graphicData>
                  </a:graphic>
                </wp:inline>
              </w:drawing>
            </w:r>
            <w:r>
              <w:rPr>
                <w:rFonts w:ascii="宋体" w:hAnsi="宋体" w:cs="宋体" w:eastAsiaTheme="minorEastAsia"/>
                <w:spacing w:val="17"/>
                <w:sz w:val="17"/>
                <w:szCs w:val="17"/>
              </w:rPr>
              <w:t xml:space="preserve">  </w:t>
            </w:r>
            <w:r>
              <w:rPr>
                <w:rFonts w:ascii="宋体" w:hAnsi="宋体" w:cs="宋体" w:eastAsiaTheme="minorEastAsia"/>
                <w:spacing w:val="18"/>
                <w:sz w:val="17"/>
                <w:szCs w:val="17"/>
              </w:rPr>
              <w:t>频率</w:t>
            </w:r>
            <w:r>
              <w:rPr>
                <w:rFonts w:ascii="宋体" w:hAnsi="宋体" w:cs="宋体" w:eastAsiaTheme="minorEastAsia"/>
                <w:spacing w:val="16"/>
                <w:sz w:val="17"/>
                <w:szCs w:val="17"/>
              </w:rPr>
              <w:t xml:space="preserve"> </w:t>
            </w:r>
            <w:r>
              <w:rPr>
                <w:rFonts w:ascii="Arial" w:hAnsi="Arial" w:cs="Arial" w:eastAsiaTheme="minorEastAsia"/>
                <w:position w:val="5"/>
                <w:sz w:val="17"/>
                <w:szCs w:val="17"/>
              </w:rPr>
              <w:drawing>
                <wp:inline distT="0" distB="0" distL="0" distR="0">
                  <wp:extent cx="17145" cy="17145"/>
                  <wp:effectExtent l="0" t="0" r="0" b="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7145" cy="17145"/>
                          </a:xfrm>
                          <a:prstGeom prst="rect">
                            <a:avLst/>
                          </a:prstGeom>
                          <a:noFill/>
                          <a:ln>
                            <a:noFill/>
                          </a:ln>
                        </pic:spPr>
                      </pic:pic>
                    </a:graphicData>
                  </a:graphic>
                </wp:inline>
              </w:drawing>
            </w:r>
          </w:p>
        </w:tc>
        <w:tc>
          <w:tcPr>
            <w:tcW w:w="2226" w:type="dxa"/>
            <w:vMerge w:val="restart"/>
            <w:tcBorders>
              <w:bottom w:val="nil"/>
            </w:tcBorders>
          </w:tcPr>
          <w:p w14:paraId="5E837AE5">
            <w:pPr>
              <w:spacing w:line="330" w:lineRule="auto"/>
              <w:rPr>
                <w:rFonts w:ascii="Arial" w:hAnsi="Arial" w:cs="Arial" w:eastAsiaTheme="minorEastAsia"/>
              </w:rPr>
            </w:pPr>
          </w:p>
          <w:p w14:paraId="38ECFDA5">
            <w:pPr>
              <w:spacing w:before="59" w:line="221" w:lineRule="auto"/>
              <w:ind w:firstLine="755"/>
              <w:rPr>
                <w:rFonts w:ascii="宋体" w:hAnsi="宋体" w:cs="宋体" w:eastAsiaTheme="minorEastAsia"/>
                <w:sz w:val="18"/>
                <w:szCs w:val="18"/>
              </w:rPr>
            </w:pPr>
            <w:r>
              <w:rPr>
                <w:rFonts w:ascii="宋体" w:hAnsi="宋体" w:cs="宋体" w:eastAsiaTheme="minorEastAsia"/>
                <w:spacing w:val="-1"/>
                <w:sz w:val="18"/>
                <w:szCs w:val="18"/>
              </w:rPr>
              <w:t>检测方</w:t>
            </w:r>
            <w:r>
              <w:rPr>
                <w:rFonts w:ascii="宋体" w:hAnsi="宋体" w:cs="宋体" w:eastAsiaTheme="minorEastAsia"/>
                <w:sz w:val="18"/>
                <w:szCs w:val="18"/>
              </w:rPr>
              <w:t>法</w:t>
            </w:r>
          </w:p>
        </w:tc>
      </w:tr>
      <w:tr w14:paraId="7D0F4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83" w:type="dxa"/>
            <w:vMerge w:val="continue"/>
            <w:tcBorders>
              <w:top w:val="nil"/>
              <w:bottom w:val="nil"/>
            </w:tcBorders>
          </w:tcPr>
          <w:p w14:paraId="5A62D798">
            <w:pPr>
              <w:rPr>
                <w:rFonts w:ascii="Arial" w:hAnsi="Arial" w:cs="Arial" w:eastAsiaTheme="minorEastAsia"/>
              </w:rPr>
            </w:pPr>
          </w:p>
        </w:tc>
        <w:tc>
          <w:tcPr>
            <w:tcW w:w="768" w:type="dxa"/>
            <w:vMerge w:val="restart"/>
            <w:tcBorders>
              <w:bottom w:val="nil"/>
            </w:tcBorders>
          </w:tcPr>
          <w:p w14:paraId="303664D9">
            <w:pPr>
              <w:spacing w:before="228" w:line="221" w:lineRule="auto"/>
              <w:ind w:firstLine="209"/>
              <w:rPr>
                <w:rFonts w:ascii="宋体" w:hAnsi="宋体" w:cs="宋体" w:eastAsiaTheme="minorEastAsia"/>
                <w:sz w:val="18"/>
                <w:szCs w:val="18"/>
              </w:rPr>
            </w:pPr>
            <w:r>
              <w:rPr>
                <w:rFonts w:ascii="宋体" w:hAnsi="宋体" w:cs="宋体" w:eastAsiaTheme="minorEastAsia"/>
                <w:spacing w:val="-1"/>
                <w:sz w:val="18"/>
                <w:szCs w:val="18"/>
              </w:rPr>
              <w:t>坑槽</w:t>
            </w:r>
          </w:p>
        </w:tc>
        <w:tc>
          <w:tcPr>
            <w:tcW w:w="2024" w:type="dxa"/>
            <w:gridSpan w:val="2"/>
          </w:tcPr>
          <w:p w14:paraId="2CDE3064">
            <w:pPr>
              <w:spacing w:before="65" w:line="222" w:lineRule="auto"/>
              <w:ind w:firstLine="838"/>
              <w:rPr>
                <w:rFonts w:ascii="宋体" w:hAnsi="宋体" w:cs="宋体" w:eastAsiaTheme="minorEastAsia"/>
                <w:sz w:val="18"/>
                <w:szCs w:val="18"/>
              </w:rPr>
            </w:pPr>
            <w:r>
              <w:rPr>
                <w:rFonts w:ascii="宋体" w:hAnsi="宋体" w:cs="宋体" w:eastAsiaTheme="minorEastAsia"/>
                <w:spacing w:val="-1"/>
                <w:sz w:val="18"/>
                <w:szCs w:val="18"/>
              </w:rPr>
              <w:t>裂缝</w:t>
            </w:r>
          </w:p>
          <w:p w14:paraId="002E2A8C">
            <w:pPr>
              <w:tabs>
                <w:tab w:val="left" w:pos="2018"/>
              </w:tabs>
              <w:spacing w:before="30" w:line="4" w:lineRule="exact"/>
              <w:ind w:firstLine="2016"/>
              <w:rPr>
                <w:rFonts w:ascii="Arial" w:hAnsi="Arial" w:cs="Arial" w:eastAsiaTheme="minorEastAsia"/>
              </w:rPr>
            </w:pPr>
            <w:r>
              <w:rPr>
                <w:rFonts w:ascii="Arial" w:hAnsi="Arial" w:eastAsia="Arial" w:cs="Arial"/>
                <w:position w:val="-8"/>
                <w:shd w:val="clear" w:color="auto" w:fill="000000"/>
              </w:rPr>
              <w:tab/>
            </w:r>
          </w:p>
        </w:tc>
        <w:tc>
          <w:tcPr>
            <w:tcW w:w="1127" w:type="dxa"/>
            <w:vMerge w:val="restart"/>
            <w:tcBorders>
              <w:bottom w:val="nil"/>
            </w:tcBorders>
          </w:tcPr>
          <w:p w14:paraId="4994F491">
            <w:pPr>
              <w:spacing w:before="228" w:line="222" w:lineRule="auto"/>
              <w:ind w:firstLine="137"/>
              <w:rPr>
                <w:rFonts w:ascii="Arial" w:hAnsi="Arial" w:cs="Arial" w:eastAsiaTheme="minorEastAsia"/>
                <w:sz w:val="18"/>
                <w:szCs w:val="18"/>
              </w:rPr>
            </w:pPr>
            <w:r>
              <w:rPr>
                <w:rFonts w:ascii="宋体" w:hAnsi="宋体" w:cs="宋体" w:eastAsiaTheme="minorEastAsia"/>
                <w:sz w:val="18"/>
                <w:szCs w:val="18"/>
              </w:rPr>
              <w:t>网裂</w:t>
            </w:r>
            <w:r>
              <w:rPr>
                <w:rFonts w:ascii="宋体" w:hAnsi="宋体" w:cs="宋体" w:eastAsiaTheme="minorEastAsia"/>
                <w:spacing w:val="-14"/>
                <w:sz w:val="18"/>
                <w:szCs w:val="18"/>
              </w:rPr>
              <w:t>、</w:t>
            </w:r>
            <w:r>
              <w:rPr>
                <w:rFonts w:ascii="宋体" w:hAnsi="宋体" w:cs="宋体" w:eastAsiaTheme="minorEastAsia"/>
                <w:sz w:val="18"/>
                <w:szCs w:val="18"/>
              </w:rPr>
              <w:t>沉陷</w:t>
            </w:r>
            <w:r>
              <w:rPr>
                <w:rFonts w:ascii="宋体" w:hAnsi="宋体" w:cs="宋体" w:eastAsiaTheme="minorEastAsia"/>
                <w:spacing w:val="-1"/>
                <w:sz w:val="18"/>
                <w:szCs w:val="18"/>
              </w:rPr>
              <w:t xml:space="preserve"> </w:t>
            </w:r>
            <w:r>
              <w:rPr>
                <w:rFonts w:ascii="Arial" w:hAnsi="Arial" w:cs="Arial" w:eastAsiaTheme="minorEastAsia"/>
                <w:position w:val="6"/>
                <w:sz w:val="18"/>
                <w:szCs w:val="18"/>
              </w:rPr>
              <w:drawing>
                <wp:inline distT="0" distB="0" distL="0" distR="0">
                  <wp:extent cx="17145" cy="17145"/>
                  <wp:effectExtent l="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7145" cy="17145"/>
                          </a:xfrm>
                          <a:prstGeom prst="rect">
                            <a:avLst/>
                          </a:prstGeom>
                          <a:noFill/>
                          <a:ln>
                            <a:noFill/>
                          </a:ln>
                        </pic:spPr>
                      </pic:pic>
                    </a:graphicData>
                  </a:graphic>
                </wp:inline>
              </w:drawing>
            </w:r>
          </w:p>
        </w:tc>
        <w:tc>
          <w:tcPr>
            <w:tcW w:w="758" w:type="dxa"/>
            <w:vMerge w:val="restart"/>
            <w:tcBorders>
              <w:bottom w:val="nil"/>
            </w:tcBorders>
          </w:tcPr>
          <w:p w14:paraId="082867CD">
            <w:pPr>
              <w:spacing w:before="228" w:line="232" w:lineRule="auto"/>
              <w:ind w:firstLine="208"/>
              <w:rPr>
                <w:rFonts w:ascii="Arial" w:hAnsi="Arial" w:cs="Arial" w:eastAsiaTheme="minorEastAsia"/>
                <w:sz w:val="17"/>
                <w:szCs w:val="17"/>
              </w:rPr>
            </w:pPr>
            <w:r>
              <w:rPr>
                <w:rFonts w:ascii="宋体" w:hAnsi="宋体" w:cs="宋体" w:eastAsiaTheme="minorEastAsia"/>
                <w:spacing w:val="6"/>
                <w:sz w:val="17"/>
                <w:szCs w:val="17"/>
              </w:rPr>
              <w:t xml:space="preserve">车辙  </w:t>
            </w:r>
            <w:r>
              <w:rPr>
                <w:rFonts w:ascii="Arial" w:hAnsi="Arial" w:cs="Arial" w:eastAsiaTheme="minorEastAsia"/>
                <w:position w:val="6"/>
                <w:sz w:val="17"/>
                <w:szCs w:val="17"/>
              </w:rPr>
              <w:drawing>
                <wp:inline distT="0" distB="0" distL="0" distR="0">
                  <wp:extent cx="17145" cy="1714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7145" cy="17145"/>
                          </a:xfrm>
                          <a:prstGeom prst="rect">
                            <a:avLst/>
                          </a:prstGeom>
                          <a:noFill/>
                          <a:ln>
                            <a:noFill/>
                          </a:ln>
                        </pic:spPr>
                      </pic:pic>
                    </a:graphicData>
                  </a:graphic>
                </wp:inline>
              </w:drawing>
            </w:r>
          </w:p>
        </w:tc>
        <w:tc>
          <w:tcPr>
            <w:tcW w:w="984" w:type="dxa"/>
            <w:vMerge w:val="restart"/>
            <w:tcBorders>
              <w:bottom w:val="nil"/>
            </w:tcBorders>
          </w:tcPr>
          <w:p w14:paraId="1D584659">
            <w:pPr>
              <w:spacing w:before="228" w:line="221" w:lineRule="auto"/>
              <w:ind w:firstLine="291" w:firstLineChars="164"/>
              <w:rPr>
                <w:rFonts w:ascii="宋体" w:hAnsi="宋体" w:cs="宋体" w:eastAsiaTheme="minorEastAsia"/>
                <w:sz w:val="18"/>
                <w:szCs w:val="18"/>
              </w:rPr>
            </w:pPr>
            <w:r>
              <w:rPr>
                <w:rFonts w:ascii="宋体" w:hAnsi="宋体" w:cs="宋体" w:eastAsiaTheme="minorEastAsia"/>
                <w:spacing w:val="-1"/>
                <w:sz w:val="18"/>
                <w:szCs w:val="18"/>
              </w:rPr>
              <w:t>跳</w:t>
            </w:r>
            <w:r>
              <w:rPr>
                <w:rFonts w:ascii="宋体" w:hAnsi="宋体" w:cs="宋体" w:eastAsiaTheme="minorEastAsia"/>
                <w:sz w:val="18"/>
                <w:szCs w:val="18"/>
              </w:rPr>
              <w:t>车</w:t>
            </w:r>
          </w:p>
        </w:tc>
        <w:tc>
          <w:tcPr>
            <w:tcW w:w="705" w:type="dxa"/>
            <w:vMerge w:val="continue"/>
            <w:tcBorders>
              <w:top w:val="nil"/>
              <w:bottom w:val="nil"/>
            </w:tcBorders>
          </w:tcPr>
          <w:p w14:paraId="49B0386F">
            <w:pPr>
              <w:rPr>
                <w:rFonts w:ascii="Arial" w:hAnsi="Arial" w:cs="Arial" w:eastAsiaTheme="minorEastAsia"/>
              </w:rPr>
            </w:pPr>
          </w:p>
        </w:tc>
        <w:tc>
          <w:tcPr>
            <w:tcW w:w="2226" w:type="dxa"/>
            <w:vMerge w:val="continue"/>
            <w:tcBorders>
              <w:top w:val="nil"/>
              <w:bottom w:val="nil"/>
            </w:tcBorders>
          </w:tcPr>
          <w:p w14:paraId="7E42DF1F">
            <w:pPr>
              <w:rPr>
                <w:rFonts w:ascii="Arial" w:hAnsi="Arial" w:cs="Arial" w:eastAsiaTheme="minorEastAsia"/>
              </w:rPr>
            </w:pPr>
          </w:p>
        </w:tc>
      </w:tr>
      <w:tr w14:paraId="69A1C8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83" w:type="dxa"/>
            <w:vMerge w:val="continue"/>
            <w:tcBorders>
              <w:top w:val="nil"/>
            </w:tcBorders>
          </w:tcPr>
          <w:p w14:paraId="73D27040">
            <w:pPr>
              <w:rPr>
                <w:rFonts w:ascii="Arial" w:hAnsi="Arial" w:cs="Arial" w:eastAsiaTheme="minorEastAsia"/>
              </w:rPr>
            </w:pPr>
          </w:p>
        </w:tc>
        <w:tc>
          <w:tcPr>
            <w:tcW w:w="768" w:type="dxa"/>
            <w:vMerge w:val="continue"/>
            <w:tcBorders>
              <w:top w:val="nil"/>
            </w:tcBorders>
          </w:tcPr>
          <w:p w14:paraId="1927F2E0">
            <w:pPr>
              <w:rPr>
                <w:rFonts w:ascii="Arial" w:hAnsi="Arial" w:cs="Arial" w:eastAsiaTheme="minorEastAsia"/>
              </w:rPr>
            </w:pPr>
          </w:p>
        </w:tc>
        <w:tc>
          <w:tcPr>
            <w:tcW w:w="940" w:type="dxa"/>
          </w:tcPr>
          <w:p w14:paraId="5FBF3208">
            <w:pPr>
              <w:spacing w:before="65" w:line="221" w:lineRule="auto"/>
              <w:ind w:firstLine="112"/>
              <w:rPr>
                <w:rFonts w:ascii="宋体" w:hAnsi="宋体" w:cs="宋体" w:eastAsiaTheme="minorEastAsia"/>
                <w:sz w:val="18"/>
                <w:szCs w:val="18"/>
              </w:rPr>
            </w:pPr>
            <w:r>
              <w:rPr>
                <w:rFonts w:ascii="宋体" w:hAnsi="宋体" w:cs="宋体" w:eastAsiaTheme="minorEastAsia"/>
                <w:spacing w:val="-1"/>
                <w:sz w:val="18"/>
                <w:szCs w:val="18"/>
              </w:rPr>
              <w:t>横向</w:t>
            </w:r>
            <w:r>
              <w:rPr>
                <w:rFonts w:ascii="宋体" w:hAnsi="宋体" w:cs="宋体" w:eastAsiaTheme="minorEastAsia"/>
                <w:sz w:val="18"/>
                <w:szCs w:val="18"/>
              </w:rPr>
              <w:t>裂缝</w:t>
            </w:r>
          </w:p>
        </w:tc>
        <w:tc>
          <w:tcPr>
            <w:tcW w:w="1084" w:type="dxa"/>
          </w:tcPr>
          <w:p w14:paraId="6552BFCE">
            <w:pPr>
              <w:spacing w:before="66" w:line="222" w:lineRule="auto"/>
              <w:ind w:firstLine="189"/>
              <w:rPr>
                <w:rFonts w:ascii="宋体" w:hAnsi="宋体" w:cs="宋体" w:eastAsiaTheme="minorEastAsia"/>
                <w:sz w:val="18"/>
                <w:szCs w:val="18"/>
              </w:rPr>
            </w:pPr>
            <w:r>
              <w:rPr>
                <w:rFonts w:ascii="宋体" w:hAnsi="宋体" w:cs="宋体" w:eastAsiaTheme="minorEastAsia"/>
                <w:spacing w:val="-2"/>
                <w:sz w:val="18"/>
                <w:szCs w:val="18"/>
              </w:rPr>
              <w:t>纵向</w:t>
            </w:r>
            <w:r>
              <w:rPr>
                <w:rFonts w:ascii="宋体" w:hAnsi="宋体" w:cs="宋体" w:eastAsiaTheme="minorEastAsia"/>
                <w:spacing w:val="-1"/>
                <w:sz w:val="18"/>
                <w:szCs w:val="18"/>
              </w:rPr>
              <w:t>裂缝</w:t>
            </w:r>
          </w:p>
        </w:tc>
        <w:tc>
          <w:tcPr>
            <w:tcW w:w="1127" w:type="dxa"/>
            <w:vMerge w:val="continue"/>
            <w:tcBorders>
              <w:top w:val="nil"/>
            </w:tcBorders>
          </w:tcPr>
          <w:p w14:paraId="766CBD13">
            <w:pPr>
              <w:rPr>
                <w:rFonts w:ascii="Arial" w:hAnsi="Arial" w:cs="Arial" w:eastAsiaTheme="minorEastAsia"/>
              </w:rPr>
            </w:pPr>
          </w:p>
        </w:tc>
        <w:tc>
          <w:tcPr>
            <w:tcW w:w="758" w:type="dxa"/>
            <w:vMerge w:val="continue"/>
            <w:tcBorders>
              <w:top w:val="nil"/>
            </w:tcBorders>
          </w:tcPr>
          <w:p w14:paraId="2E01127D">
            <w:pPr>
              <w:rPr>
                <w:rFonts w:ascii="Arial" w:hAnsi="Arial" w:cs="Arial" w:eastAsiaTheme="minorEastAsia"/>
              </w:rPr>
            </w:pPr>
          </w:p>
        </w:tc>
        <w:tc>
          <w:tcPr>
            <w:tcW w:w="984" w:type="dxa"/>
            <w:vMerge w:val="continue"/>
            <w:tcBorders>
              <w:top w:val="nil"/>
            </w:tcBorders>
          </w:tcPr>
          <w:p w14:paraId="30BF0CBC">
            <w:pPr>
              <w:rPr>
                <w:rFonts w:ascii="Arial" w:hAnsi="Arial" w:cs="Arial" w:eastAsiaTheme="minorEastAsia"/>
              </w:rPr>
            </w:pPr>
          </w:p>
        </w:tc>
        <w:tc>
          <w:tcPr>
            <w:tcW w:w="705" w:type="dxa"/>
            <w:vMerge w:val="continue"/>
            <w:tcBorders>
              <w:top w:val="nil"/>
            </w:tcBorders>
          </w:tcPr>
          <w:p w14:paraId="6E22FC22">
            <w:pPr>
              <w:rPr>
                <w:rFonts w:ascii="Arial" w:hAnsi="Arial" w:cs="Arial" w:eastAsiaTheme="minorEastAsia"/>
              </w:rPr>
            </w:pPr>
          </w:p>
        </w:tc>
        <w:tc>
          <w:tcPr>
            <w:tcW w:w="2226" w:type="dxa"/>
            <w:vMerge w:val="continue"/>
            <w:tcBorders>
              <w:top w:val="nil"/>
            </w:tcBorders>
          </w:tcPr>
          <w:p w14:paraId="276B2A88">
            <w:pPr>
              <w:rPr>
                <w:rFonts w:ascii="Arial" w:hAnsi="Arial" w:cs="Arial" w:eastAsiaTheme="minorEastAsia"/>
              </w:rPr>
            </w:pPr>
          </w:p>
        </w:tc>
      </w:tr>
      <w:tr w14:paraId="10FF04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83" w:type="dxa"/>
          </w:tcPr>
          <w:p w14:paraId="0A330FA9">
            <w:pPr>
              <w:spacing w:before="66" w:line="221" w:lineRule="auto"/>
              <w:ind w:firstLine="135"/>
              <w:rPr>
                <w:rFonts w:ascii="宋体" w:hAnsi="宋体" w:cs="宋体" w:eastAsiaTheme="minorEastAsia"/>
                <w:sz w:val="18"/>
                <w:szCs w:val="18"/>
              </w:rPr>
            </w:pPr>
            <w:r>
              <w:rPr>
                <w:rFonts w:ascii="宋体" w:hAnsi="宋体" w:cs="宋体" w:eastAsiaTheme="minorEastAsia"/>
                <w:spacing w:val="-1"/>
                <w:sz w:val="18"/>
                <w:szCs w:val="18"/>
              </w:rPr>
              <w:t>现场</w:t>
            </w:r>
            <w:r>
              <w:rPr>
                <w:rFonts w:ascii="宋体" w:hAnsi="宋体" w:cs="宋体" w:eastAsiaTheme="minorEastAsia"/>
                <w:sz w:val="18"/>
                <w:szCs w:val="18"/>
              </w:rPr>
              <w:t>踏勘</w:t>
            </w:r>
          </w:p>
          <w:p w14:paraId="6E971B29">
            <w:pPr>
              <w:tabs>
                <w:tab w:val="left" w:pos="978"/>
              </w:tabs>
              <w:spacing w:before="31" w:line="3" w:lineRule="exact"/>
              <w:ind w:firstLine="974"/>
              <w:rPr>
                <w:rFonts w:ascii="Arial" w:hAnsi="Arial" w:cs="Arial" w:eastAsiaTheme="minorEastAsia"/>
              </w:rPr>
            </w:pPr>
            <w:r>
              <w:rPr>
                <w:rFonts w:ascii="Arial" w:hAnsi="Arial" w:eastAsia="Arial" w:cs="Arial"/>
                <w:position w:val="-8"/>
                <w:shd w:val="clear" w:color="auto" w:fill="000000"/>
              </w:rPr>
              <w:tab/>
            </w:r>
          </w:p>
        </w:tc>
        <w:tc>
          <w:tcPr>
            <w:tcW w:w="768" w:type="dxa"/>
          </w:tcPr>
          <w:p w14:paraId="4222F7DB">
            <w:pPr>
              <w:spacing w:before="66"/>
              <w:ind w:firstLine="345"/>
              <w:rPr>
                <w:rFonts w:ascii="宋体" w:hAnsi="宋体" w:cs="宋体" w:eastAsiaTheme="minorEastAsia"/>
                <w:sz w:val="18"/>
                <w:szCs w:val="18"/>
              </w:rPr>
            </w:pPr>
            <w:r>
              <w:rPr>
                <w:rFonts w:ascii="宋体" w:hAnsi="宋体" w:cs="宋体" w:eastAsiaTheme="minorEastAsia"/>
                <w:sz w:val="18"/>
                <w:szCs w:val="18"/>
              </w:rPr>
              <w:t>√</w:t>
            </w:r>
          </w:p>
        </w:tc>
        <w:tc>
          <w:tcPr>
            <w:tcW w:w="940" w:type="dxa"/>
          </w:tcPr>
          <w:p w14:paraId="632C2830">
            <w:pPr>
              <w:spacing w:before="66"/>
              <w:ind w:firstLine="432"/>
              <w:rPr>
                <w:rFonts w:ascii="宋体" w:hAnsi="宋体" w:cs="宋体" w:eastAsiaTheme="minorEastAsia"/>
                <w:sz w:val="18"/>
                <w:szCs w:val="18"/>
              </w:rPr>
            </w:pPr>
            <w:r>
              <w:rPr>
                <w:rFonts w:ascii="宋体" w:hAnsi="宋体" w:cs="宋体" w:eastAsiaTheme="minorEastAsia"/>
                <w:sz w:val="18"/>
                <w:szCs w:val="18"/>
              </w:rPr>
              <w:t>√</w:t>
            </w:r>
          </w:p>
        </w:tc>
        <w:tc>
          <w:tcPr>
            <w:tcW w:w="1084" w:type="dxa"/>
          </w:tcPr>
          <w:p w14:paraId="74288384">
            <w:pPr>
              <w:spacing w:before="66"/>
              <w:ind w:firstLine="504"/>
              <w:rPr>
                <w:rFonts w:ascii="宋体" w:hAnsi="宋体" w:cs="宋体" w:eastAsiaTheme="minorEastAsia"/>
                <w:sz w:val="18"/>
                <w:szCs w:val="18"/>
              </w:rPr>
            </w:pPr>
            <w:r>
              <w:rPr>
                <w:rFonts w:ascii="宋体" w:hAnsi="宋体" w:cs="宋体" w:eastAsiaTheme="minorEastAsia"/>
                <w:sz w:val="18"/>
                <w:szCs w:val="18"/>
              </w:rPr>
              <w:t>√</w:t>
            </w:r>
          </w:p>
        </w:tc>
        <w:tc>
          <w:tcPr>
            <w:tcW w:w="1127" w:type="dxa"/>
          </w:tcPr>
          <w:p w14:paraId="103154E1">
            <w:pPr>
              <w:spacing w:before="66"/>
              <w:ind w:firstLine="524"/>
              <w:rPr>
                <w:rFonts w:ascii="宋体" w:hAnsi="宋体" w:cs="宋体" w:eastAsiaTheme="minorEastAsia"/>
                <w:sz w:val="18"/>
                <w:szCs w:val="18"/>
              </w:rPr>
            </w:pPr>
            <w:r>
              <w:rPr>
                <w:rFonts w:ascii="宋体" w:hAnsi="宋体" w:cs="宋体" w:eastAsiaTheme="minorEastAsia"/>
                <w:sz w:val="18"/>
                <w:szCs w:val="18"/>
              </w:rPr>
              <w:t>√</w:t>
            </w:r>
          </w:p>
        </w:tc>
        <w:tc>
          <w:tcPr>
            <w:tcW w:w="758" w:type="dxa"/>
          </w:tcPr>
          <w:p w14:paraId="59A764B2">
            <w:pPr>
              <w:spacing w:before="66"/>
              <w:ind w:firstLine="343"/>
              <w:rPr>
                <w:rFonts w:ascii="宋体" w:hAnsi="宋体" w:cs="宋体" w:eastAsiaTheme="minorEastAsia"/>
                <w:sz w:val="18"/>
                <w:szCs w:val="18"/>
              </w:rPr>
            </w:pPr>
            <w:r>
              <w:rPr>
                <w:rFonts w:ascii="宋体" w:hAnsi="宋体" w:cs="宋体" w:eastAsiaTheme="minorEastAsia"/>
                <w:sz w:val="18"/>
                <w:szCs w:val="18"/>
              </w:rPr>
              <w:t>√</w:t>
            </w:r>
          </w:p>
        </w:tc>
        <w:tc>
          <w:tcPr>
            <w:tcW w:w="984" w:type="dxa"/>
          </w:tcPr>
          <w:p w14:paraId="60B260D2">
            <w:pPr>
              <w:spacing w:before="66"/>
              <w:ind w:firstLine="449"/>
              <w:rPr>
                <w:rFonts w:ascii="宋体" w:hAnsi="宋体" w:cs="宋体" w:eastAsiaTheme="minorEastAsia"/>
                <w:sz w:val="18"/>
                <w:szCs w:val="18"/>
              </w:rPr>
            </w:pPr>
            <w:r>
              <w:rPr>
                <w:rFonts w:ascii="宋体" w:hAnsi="宋体" w:cs="宋体" w:eastAsiaTheme="minorEastAsia"/>
                <w:sz w:val="18"/>
                <w:szCs w:val="18"/>
              </w:rPr>
              <w:t>√</w:t>
            </w:r>
          </w:p>
        </w:tc>
        <w:tc>
          <w:tcPr>
            <w:tcW w:w="705" w:type="dxa"/>
          </w:tcPr>
          <w:p w14:paraId="7738BD74">
            <w:pPr>
              <w:spacing w:before="65" w:line="222" w:lineRule="auto"/>
              <w:ind w:firstLine="178"/>
              <w:rPr>
                <w:rFonts w:ascii="宋体" w:hAnsi="宋体" w:cs="宋体" w:eastAsiaTheme="minorEastAsia"/>
                <w:sz w:val="18"/>
                <w:szCs w:val="18"/>
              </w:rPr>
            </w:pPr>
            <w:r>
              <w:rPr>
                <w:rFonts w:ascii="宋体" w:hAnsi="宋体" w:cs="宋体" w:eastAsiaTheme="minorEastAsia"/>
                <w:spacing w:val="-1"/>
                <w:sz w:val="18"/>
                <w:szCs w:val="18"/>
              </w:rPr>
              <w:t>连</w:t>
            </w:r>
            <w:r>
              <w:rPr>
                <w:rFonts w:ascii="宋体" w:hAnsi="宋体" w:cs="宋体" w:eastAsiaTheme="minorEastAsia"/>
                <w:sz w:val="18"/>
                <w:szCs w:val="18"/>
              </w:rPr>
              <w:t>续</w:t>
            </w:r>
          </w:p>
          <w:p w14:paraId="57A39E74">
            <w:pPr>
              <w:spacing w:line="2" w:lineRule="exact"/>
              <w:ind w:firstLine="699"/>
              <w:textAlignment w:val="center"/>
              <w:rPr>
                <w:rFonts w:ascii="Arial" w:hAnsi="Arial" w:cs="Arial" w:eastAsiaTheme="minorEastAsia"/>
              </w:rPr>
            </w:pPr>
            <w:r>
              <w:rPr>
                <w:rFonts w:ascii="Arial" w:hAnsi="Arial" w:cs="Arial" w:eastAsiaTheme="minorEastAsia"/>
              </w:rPr>
              <w:drawing>
                <wp:inline distT="0" distB="0" distL="0" distR="0">
                  <wp:extent cx="17145" cy="1714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7145" cy="17145"/>
                          </a:xfrm>
                          <a:prstGeom prst="rect">
                            <a:avLst/>
                          </a:prstGeom>
                          <a:noFill/>
                          <a:ln>
                            <a:noFill/>
                          </a:ln>
                        </pic:spPr>
                      </pic:pic>
                    </a:graphicData>
                  </a:graphic>
                </wp:inline>
              </w:drawing>
            </w:r>
          </w:p>
        </w:tc>
        <w:tc>
          <w:tcPr>
            <w:tcW w:w="2226" w:type="dxa"/>
          </w:tcPr>
          <w:p w14:paraId="6F266C54">
            <w:pPr>
              <w:spacing w:before="66" w:line="224" w:lineRule="auto"/>
              <w:ind w:firstLine="938"/>
              <w:rPr>
                <w:rFonts w:ascii="宋体" w:hAnsi="宋体" w:cs="宋体" w:eastAsiaTheme="minorEastAsia"/>
                <w:sz w:val="18"/>
                <w:szCs w:val="18"/>
              </w:rPr>
            </w:pPr>
            <w:r>
              <w:rPr>
                <w:rFonts w:ascii="宋体" w:hAnsi="宋体" w:cs="宋体" w:eastAsiaTheme="minorEastAsia"/>
                <w:spacing w:val="-1"/>
                <w:sz w:val="18"/>
                <w:szCs w:val="18"/>
              </w:rPr>
              <w:t>人工</w:t>
            </w:r>
          </w:p>
        </w:tc>
      </w:tr>
      <w:tr w14:paraId="3AC030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83" w:type="dxa"/>
          </w:tcPr>
          <w:p w14:paraId="4450A77F">
            <w:pPr>
              <w:spacing w:before="66" w:line="221" w:lineRule="auto"/>
              <w:ind w:firstLine="136"/>
              <w:rPr>
                <w:rFonts w:ascii="宋体" w:hAnsi="宋体" w:cs="宋体" w:eastAsiaTheme="minorEastAsia"/>
                <w:sz w:val="18"/>
                <w:szCs w:val="18"/>
              </w:rPr>
            </w:pPr>
            <w:r>
              <w:rPr>
                <w:rFonts w:ascii="宋体" w:hAnsi="宋体" w:cs="宋体" w:eastAsiaTheme="minorEastAsia"/>
                <w:spacing w:val="-1"/>
                <w:sz w:val="18"/>
                <w:szCs w:val="18"/>
              </w:rPr>
              <w:t>钻芯取</w:t>
            </w:r>
            <w:r>
              <w:rPr>
                <w:rFonts w:ascii="宋体" w:hAnsi="宋体" w:cs="宋体" w:eastAsiaTheme="minorEastAsia"/>
                <w:sz w:val="18"/>
                <w:szCs w:val="18"/>
              </w:rPr>
              <w:t>样</w:t>
            </w:r>
          </w:p>
        </w:tc>
        <w:tc>
          <w:tcPr>
            <w:tcW w:w="768" w:type="dxa"/>
          </w:tcPr>
          <w:p w14:paraId="1412FF42">
            <w:pPr>
              <w:spacing w:before="66"/>
              <w:ind w:firstLine="345"/>
              <w:rPr>
                <w:rFonts w:ascii="宋体" w:hAnsi="宋体" w:cs="宋体" w:eastAsiaTheme="minorEastAsia"/>
                <w:sz w:val="18"/>
                <w:szCs w:val="18"/>
              </w:rPr>
            </w:pPr>
            <w:r>
              <w:rPr>
                <w:rFonts w:ascii="宋体" w:hAnsi="宋体" w:cs="宋体" w:eastAsiaTheme="minorEastAsia"/>
                <w:sz w:val="18"/>
                <w:szCs w:val="18"/>
              </w:rPr>
              <w:t>√</w:t>
            </w:r>
          </w:p>
        </w:tc>
        <w:tc>
          <w:tcPr>
            <w:tcW w:w="940" w:type="dxa"/>
          </w:tcPr>
          <w:p w14:paraId="44387323">
            <w:pPr>
              <w:spacing w:before="66"/>
              <w:ind w:firstLine="432"/>
              <w:rPr>
                <w:rFonts w:ascii="宋体" w:hAnsi="宋体" w:cs="宋体" w:eastAsiaTheme="minorEastAsia"/>
                <w:sz w:val="18"/>
                <w:szCs w:val="18"/>
              </w:rPr>
            </w:pPr>
            <w:r>
              <w:rPr>
                <w:rFonts w:ascii="宋体" w:hAnsi="宋体" w:cs="宋体" w:eastAsiaTheme="minorEastAsia"/>
                <w:sz w:val="18"/>
                <w:szCs w:val="18"/>
              </w:rPr>
              <w:t>√</w:t>
            </w:r>
          </w:p>
        </w:tc>
        <w:tc>
          <w:tcPr>
            <w:tcW w:w="1084" w:type="dxa"/>
          </w:tcPr>
          <w:p w14:paraId="0BEF1E9E">
            <w:pPr>
              <w:spacing w:before="66"/>
              <w:ind w:firstLine="504"/>
              <w:rPr>
                <w:rFonts w:ascii="宋体" w:hAnsi="宋体" w:cs="宋体" w:eastAsiaTheme="minorEastAsia"/>
                <w:sz w:val="18"/>
                <w:szCs w:val="18"/>
              </w:rPr>
            </w:pPr>
            <w:r>
              <w:rPr>
                <w:rFonts w:ascii="宋体" w:hAnsi="宋体" w:cs="宋体" w:eastAsiaTheme="minorEastAsia"/>
                <w:sz w:val="18"/>
                <w:szCs w:val="18"/>
              </w:rPr>
              <w:t>√</w:t>
            </w:r>
          </w:p>
        </w:tc>
        <w:tc>
          <w:tcPr>
            <w:tcW w:w="1127" w:type="dxa"/>
          </w:tcPr>
          <w:p w14:paraId="0BA0A3FC">
            <w:pPr>
              <w:spacing w:before="66"/>
              <w:ind w:firstLine="524"/>
              <w:rPr>
                <w:rFonts w:ascii="宋体" w:hAnsi="宋体" w:cs="宋体" w:eastAsiaTheme="minorEastAsia"/>
                <w:sz w:val="18"/>
                <w:szCs w:val="18"/>
              </w:rPr>
            </w:pPr>
            <w:r>
              <w:rPr>
                <w:rFonts w:ascii="宋体" w:hAnsi="宋体" w:cs="宋体" w:eastAsiaTheme="minorEastAsia"/>
                <w:sz w:val="18"/>
                <w:szCs w:val="18"/>
              </w:rPr>
              <w:t>√</w:t>
            </w:r>
          </w:p>
        </w:tc>
        <w:tc>
          <w:tcPr>
            <w:tcW w:w="758" w:type="dxa"/>
          </w:tcPr>
          <w:p w14:paraId="1DD31527">
            <w:pPr>
              <w:spacing w:before="95" w:line="186" w:lineRule="auto"/>
              <w:ind w:firstLine="341"/>
              <w:rPr>
                <w:rFonts w:ascii="宋体" w:hAnsi="宋体" w:cs="宋体" w:eastAsiaTheme="minorEastAsia"/>
                <w:sz w:val="18"/>
                <w:szCs w:val="18"/>
              </w:rPr>
            </w:pPr>
            <w:r>
              <w:rPr>
                <w:rFonts w:ascii="宋体" w:hAnsi="宋体" w:cs="宋体" w:eastAsiaTheme="minorEastAsia"/>
                <w:sz w:val="18"/>
                <w:szCs w:val="18"/>
              </w:rPr>
              <w:t>O</w:t>
            </w:r>
          </w:p>
        </w:tc>
        <w:tc>
          <w:tcPr>
            <w:tcW w:w="984" w:type="dxa"/>
          </w:tcPr>
          <w:p w14:paraId="3AB2020D">
            <w:pPr>
              <w:spacing w:before="95" w:line="186" w:lineRule="auto"/>
              <w:ind w:firstLine="447"/>
              <w:rPr>
                <w:rFonts w:ascii="宋体" w:hAnsi="宋体" w:cs="宋体" w:eastAsiaTheme="minorEastAsia"/>
                <w:sz w:val="18"/>
                <w:szCs w:val="18"/>
              </w:rPr>
            </w:pPr>
            <w:r>
              <w:rPr>
                <w:rFonts w:ascii="宋体" w:hAnsi="宋体" w:cs="宋体" w:eastAsiaTheme="minorEastAsia"/>
                <w:sz w:val="18"/>
                <w:szCs w:val="18"/>
              </w:rPr>
              <w:t>O</w:t>
            </w:r>
          </w:p>
        </w:tc>
        <w:tc>
          <w:tcPr>
            <w:tcW w:w="705" w:type="dxa"/>
          </w:tcPr>
          <w:p w14:paraId="26767058">
            <w:pPr>
              <w:spacing w:before="66" w:line="221" w:lineRule="auto"/>
              <w:ind w:firstLine="178"/>
              <w:rPr>
                <w:rFonts w:ascii="宋体" w:hAnsi="宋体" w:cs="宋体" w:eastAsiaTheme="minorEastAsia"/>
                <w:sz w:val="18"/>
                <w:szCs w:val="18"/>
              </w:rPr>
            </w:pPr>
            <w:r>
              <w:rPr>
                <w:rFonts w:ascii="宋体" w:hAnsi="宋体" w:cs="宋体" w:eastAsiaTheme="minorEastAsia"/>
                <w:spacing w:val="-1"/>
                <w:sz w:val="18"/>
                <w:szCs w:val="18"/>
              </w:rPr>
              <w:t>抽</w:t>
            </w:r>
            <w:r>
              <w:rPr>
                <w:rFonts w:ascii="宋体" w:hAnsi="宋体" w:cs="宋体" w:eastAsiaTheme="minorEastAsia"/>
                <w:sz w:val="18"/>
                <w:szCs w:val="18"/>
              </w:rPr>
              <w:t>样</w:t>
            </w:r>
          </w:p>
        </w:tc>
        <w:tc>
          <w:tcPr>
            <w:tcW w:w="2226" w:type="dxa"/>
          </w:tcPr>
          <w:p w14:paraId="37B49559">
            <w:pPr>
              <w:spacing w:before="93" w:line="186" w:lineRule="auto"/>
              <w:ind w:firstLine="529"/>
              <w:rPr>
                <w:rFonts w:ascii="宋体" w:hAnsi="宋体" w:cs="宋体" w:eastAsiaTheme="minorEastAsia"/>
                <w:sz w:val="18"/>
                <w:szCs w:val="18"/>
              </w:rPr>
            </w:pPr>
            <w:r>
              <w:rPr>
                <w:rFonts w:ascii="宋体" w:hAnsi="宋体" w:cs="宋体" w:eastAsiaTheme="minorEastAsia"/>
                <w:sz w:val="18"/>
                <w:szCs w:val="18"/>
              </w:rPr>
              <w:t>JTG 3450</w:t>
            </w:r>
          </w:p>
        </w:tc>
      </w:tr>
      <w:tr w14:paraId="138997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983" w:type="dxa"/>
          </w:tcPr>
          <w:p w14:paraId="76F40951">
            <w:pPr>
              <w:spacing w:before="225" w:line="222" w:lineRule="auto"/>
              <w:ind w:firstLine="140"/>
              <w:rPr>
                <w:rFonts w:ascii="宋体" w:hAnsi="宋体" w:cs="宋体" w:eastAsiaTheme="minorEastAsia"/>
                <w:sz w:val="18"/>
                <w:szCs w:val="18"/>
              </w:rPr>
            </w:pPr>
            <w:r>
              <w:rPr>
                <w:rFonts w:ascii="宋体" w:hAnsi="宋体" w:cs="宋体" w:eastAsiaTheme="minorEastAsia"/>
                <w:spacing w:val="-2"/>
                <w:sz w:val="18"/>
                <w:szCs w:val="18"/>
              </w:rPr>
              <w:t>实地测</w:t>
            </w:r>
            <w:r>
              <w:rPr>
                <w:rFonts w:ascii="宋体" w:hAnsi="宋体" w:cs="宋体" w:eastAsiaTheme="minorEastAsia"/>
                <w:spacing w:val="-1"/>
                <w:sz w:val="18"/>
                <w:szCs w:val="18"/>
              </w:rPr>
              <w:t>量</w:t>
            </w:r>
          </w:p>
        </w:tc>
        <w:tc>
          <w:tcPr>
            <w:tcW w:w="768" w:type="dxa"/>
          </w:tcPr>
          <w:p w14:paraId="4E4D1384">
            <w:pPr>
              <w:spacing w:line="287" w:lineRule="auto"/>
              <w:rPr>
                <w:rFonts w:ascii="Arial" w:hAnsi="Arial" w:cs="Arial" w:eastAsiaTheme="minorEastAsia"/>
              </w:rPr>
            </w:pPr>
          </w:p>
          <w:p w14:paraId="106301BA">
            <w:pPr>
              <w:spacing w:before="22" w:line="115" w:lineRule="exact"/>
              <w:ind w:firstLine="293"/>
              <w:rPr>
                <w:rFonts w:ascii="宋体" w:hAnsi="宋体" w:cs="宋体" w:eastAsiaTheme="minorEastAsia"/>
                <w:sz w:val="7"/>
                <w:szCs w:val="7"/>
              </w:rPr>
            </w:pPr>
            <w:r>
              <w:rPr>
                <w:rFonts w:ascii="宋体" w:hAnsi="宋体" w:cs="宋体" w:eastAsiaTheme="minorEastAsia"/>
                <w:spacing w:val="112"/>
                <w:position w:val="1"/>
                <w:sz w:val="7"/>
                <w:szCs w:val="7"/>
              </w:rPr>
              <w:t>—</w:t>
            </w:r>
          </w:p>
        </w:tc>
        <w:tc>
          <w:tcPr>
            <w:tcW w:w="940" w:type="dxa"/>
          </w:tcPr>
          <w:p w14:paraId="778BA53F">
            <w:pPr>
              <w:spacing w:line="287" w:lineRule="auto"/>
              <w:rPr>
                <w:rFonts w:ascii="Arial" w:hAnsi="Arial" w:cs="Arial" w:eastAsiaTheme="minorEastAsia"/>
              </w:rPr>
            </w:pPr>
          </w:p>
          <w:p w14:paraId="71B5F1DB">
            <w:pPr>
              <w:spacing w:before="22" w:line="115" w:lineRule="exact"/>
              <w:ind w:firstLine="380"/>
              <w:rPr>
                <w:rFonts w:ascii="宋体" w:hAnsi="宋体" w:cs="宋体" w:eastAsiaTheme="minorEastAsia"/>
                <w:sz w:val="7"/>
                <w:szCs w:val="7"/>
              </w:rPr>
            </w:pPr>
            <w:r>
              <w:rPr>
                <w:rFonts w:ascii="宋体" w:hAnsi="宋体" w:cs="宋体" w:eastAsiaTheme="minorEastAsia"/>
                <w:spacing w:val="112"/>
                <w:position w:val="1"/>
                <w:sz w:val="7"/>
                <w:szCs w:val="7"/>
              </w:rPr>
              <w:t>—</w:t>
            </w:r>
          </w:p>
        </w:tc>
        <w:tc>
          <w:tcPr>
            <w:tcW w:w="1084" w:type="dxa"/>
          </w:tcPr>
          <w:p w14:paraId="7B3283C4">
            <w:pPr>
              <w:spacing w:line="287" w:lineRule="auto"/>
              <w:rPr>
                <w:rFonts w:ascii="Arial" w:hAnsi="Arial" w:cs="Arial" w:eastAsiaTheme="minorEastAsia"/>
              </w:rPr>
            </w:pPr>
          </w:p>
          <w:p w14:paraId="68393E88">
            <w:pPr>
              <w:spacing w:before="22" w:line="115" w:lineRule="exact"/>
              <w:ind w:firstLine="452"/>
              <w:rPr>
                <w:rFonts w:ascii="宋体" w:hAnsi="宋体" w:cs="宋体" w:eastAsiaTheme="minorEastAsia"/>
                <w:sz w:val="7"/>
                <w:szCs w:val="7"/>
              </w:rPr>
            </w:pPr>
            <w:r>
              <w:rPr>
                <w:rFonts w:ascii="宋体" w:hAnsi="宋体" w:cs="宋体" w:eastAsiaTheme="minorEastAsia"/>
                <w:spacing w:val="112"/>
                <w:position w:val="1"/>
                <w:sz w:val="7"/>
                <w:szCs w:val="7"/>
              </w:rPr>
              <w:t>—</w:t>
            </w:r>
          </w:p>
        </w:tc>
        <w:tc>
          <w:tcPr>
            <w:tcW w:w="1127" w:type="dxa"/>
          </w:tcPr>
          <w:p w14:paraId="7095C3D4">
            <w:pPr>
              <w:spacing w:before="67" w:line="312" w:lineRule="exact"/>
              <w:ind w:firstLine="307"/>
              <w:rPr>
                <w:rFonts w:ascii="宋体" w:hAnsi="宋体" w:cs="宋体" w:eastAsiaTheme="minorEastAsia"/>
                <w:sz w:val="18"/>
                <w:szCs w:val="18"/>
              </w:rPr>
            </w:pPr>
            <w:r>
              <w:rPr>
                <w:rFonts w:ascii="宋体" w:hAnsi="宋体" w:cs="宋体" w:eastAsiaTheme="minorEastAsia"/>
                <w:position w:val="9"/>
                <w:sz w:val="18"/>
                <w:szCs w:val="18"/>
              </w:rPr>
              <w:t>高程</w:t>
            </w:r>
            <w:r>
              <w:rPr>
                <w:rFonts w:ascii="宋体" w:hAnsi="宋体" w:cs="宋体" w:eastAsiaTheme="minorEastAsia"/>
                <w:spacing w:val="-8"/>
                <w:position w:val="9"/>
                <w:sz w:val="18"/>
                <w:szCs w:val="18"/>
              </w:rPr>
              <w:t>、</w:t>
            </w:r>
          </w:p>
          <w:p w14:paraId="5C782409">
            <w:pPr>
              <w:spacing w:line="221" w:lineRule="auto"/>
              <w:ind w:firstLine="389"/>
              <w:rPr>
                <w:rFonts w:ascii="宋体" w:hAnsi="宋体" w:cs="宋体" w:eastAsiaTheme="minorEastAsia"/>
                <w:sz w:val="18"/>
                <w:szCs w:val="18"/>
              </w:rPr>
            </w:pPr>
            <w:r>
              <w:rPr>
                <w:rFonts w:ascii="宋体" w:hAnsi="宋体" w:cs="宋体" w:eastAsiaTheme="minorEastAsia"/>
                <w:spacing w:val="-1"/>
                <w:sz w:val="18"/>
                <w:szCs w:val="18"/>
              </w:rPr>
              <w:t>弯沉</w:t>
            </w:r>
          </w:p>
        </w:tc>
        <w:tc>
          <w:tcPr>
            <w:tcW w:w="758" w:type="dxa"/>
          </w:tcPr>
          <w:p w14:paraId="7B357173">
            <w:pPr>
              <w:spacing w:before="254" w:line="186" w:lineRule="auto"/>
              <w:ind w:firstLine="341"/>
              <w:rPr>
                <w:rFonts w:ascii="宋体" w:hAnsi="宋体" w:cs="宋体" w:eastAsiaTheme="minorEastAsia"/>
                <w:sz w:val="18"/>
                <w:szCs w:val="18"/>
              </w:rPr>
            </w:pPr>
            <w:r>
              <w:rPr>
                <w:rFonts w:ascii="宋体" w:hAnsi="宋体" w:cs="宋体" w:eastAsiaTheme="minorEastAsia"/>
                <w:sz w:val="18"/>
                <w:szCs w:val="18"/>
              </w:rPr>
              <w:t>O</w:t>
            </w:r>
          </w:p>
        </w:tc>
        <w:tc>
          <w:tcPr>
            <w:tcW w:w="984" w:type="dxa"/>
          </w:tcPr>
          <w:p w14:paraId="503ACA86">
            <w:pPr>
              <w:spacing w:before="67" w:line="312" w:lineRule="exact"/>
              <w:ind w:firstLine="231"/>
              <w:rPr>
                <w:rFonts w:ascii="宋体" w:hAnsi="宋体" w:cs="宋体" w:eastAsiaTheme="minorEastAsia"/>
                <w:sz w:val="18"/>
                <w:szCs w:val="18"/>
              </w:rPr>
            </w:pPr>
            <w:r>
              <w:rPr>
                <w:rFonts w:ascii="宋体" w:hAnsi="宋体" w:cs="宋体" w:eastAsiaTheme="minorEastAsia"/>
                <w:position w:val="9"/>
                <w:sz w:val="18"/>
                <w:szCs w:val="18"/>
              </w:rPr>
              <w:t>高程</w:t>
            </w:r>
            <w:r>
              <w:rPr>
                <w:rFonts w:ascii="宋体" w:hAnsi="宋体" w:cs="宋体" w:eastAsiaTheme="minorEastAsia"/>
                <w:spacing w:val="-8"/>
                <w:position w:val="9"/>
                <w:sz w:val="18"/>
                <w:szCs w:val="18"/>
              </w:rPr>
              <w:t>、</w:t>
            </w:r>
          </w:p>
          <w:p w14:paraId="30AF1442">
            <w:pPr>
              <w:spacing w:line="221" w:lineRule="auto"/>
              <w:ind w:firstLine="314"/>
              <w:rPr>
                <w:rFonts w:ascii="宋体" w:hAnsi="宋体" w:cs="宋体" w:eastAsiaTheme="minorEastAsia"/>
                <w:sz w:val="18"/>
                <w:szCs w:val="18"/>
              </w:rPr>
            </w:pPr>
            <w:r>
              <w:rPr>
                <w:rFonts w:ascii="宋体" w:hAnsi="宋体" w:cs="宋体" w:eastAsiaTheme="minorEastAsia"/>
                <w:spacing w:val="-1"/>
                <w:sz w:val="18"/>
                <w:szCs w:val="18"/>
              </w:rPr>
              <w:t>弯沉</w:t>
            </w:r>
          </w:p>
        </w:tc>
        <w:tc>
          <w:tcPr>
            <w:tcW w:w="705" w:type="dxa"/>
          </w:tcPr>
          <w:p w14:paraId="4F71675A">
            <w:pPr>
              <w:spacing w:before="225" w:line="222" w:lineRule="auto"/>
              <w:ind w:firstLine="178"/>
              <w:rPr>
                <w:rFonts w:ascii="宋体" w:hAnsi="宋体" w:cs="宋体" w:eastAsiaTheme="minorEastAsia"/>
                <w:sz w:val="18"/>
                <w:szCs w:val="18"/>
              </w:rPr>
            </w:pPr>
            <w:r>
              <w:rPr>
                <w:rFonts w:ascii="宋体" w:hAnsi="宋体" w:cs="宋体" w:eastAsiaTheme="minorEastAsia"/>
                <w:spacing w:val="-1"/>
                <w:sz w:val="18"/>
                <w:szCs w:val="18"/>
              </w:rPr>
              <w:t>连</w:t>
            </w:r>
            <w:r>
              <w:rPr>
                <w:rFonts w:ascii="宋体" w:hAnsi="宋体" w:cs="宋体" w:eastAsiaTheme="minorEastAsia"/>
                <w:sz w:val="18"/>
                <w:szCs w:val="18"/>
              </w:rPr>
              <w:t>续</w:t>
            </w:r>
          </w:p>
        </w:tc>
        <w:tc>
          <w:tcPr>
            <w:tcW w:w="2226" w:type="dxa"/>
          </w:tcPr>
          <w:p w14:paraId="2230FFC2">
            <w:pPr>
              <w:spacing w:before="94" w:line="285" w:lineRule="exact"/>
              <w:ind w:firstLine="529"/>
              <w:rPr>
                <w:rFonts w:ascii="宋体" w:hAnsi="宋体" w:cs="宋体" w:eastAsiaTheme="minorEastAsia"/>
                <w:sz w:val="18"/>
                <w:szCs w:val="18"/>
              </w:rPr>
            </w:pPr>
            <w:r>
              <w:rPr>
                <w:rFonts w:ascii="宋体" w:hAnsi="宋体" w:cs="宋体" w:eastAsiaTheme="minorEastAsia"/>
                <w:position w:val="10"/>
                <w:sz w:val="18"/>
                <w:szCs w:val="18"/>
              </w:rPr>
              <w:t>JTG 3450</w:t>
            </w:r>
          </w:p>
          <w:p w14:paraId="2A86D31C">
            <w:pPr>
              <w:spacing w:line="226" w:lineRule="auto"/>
              <w:ind w:firstLine="526"/>
              <w:rPr>
                <w:rFonts w:ascii="宋体" w:hAnsi="宋体" w:cs="宋体" w:eastAsiaTheme="minorEastAsia"/>
                <w:sz w:val="18"/>
                <w:szCs w:val="18"/>
              </w:rPr>
            </w:pPr>
            <w:r>
              <w:rPr>
                <w:rFonts w:ascii="宋体" w:hAnsi="宋体" w:cs="宋体" w:eastAsiaTheme="minorEastAsia"/>
                <w:spacing w:val="1"/>
                <w:sz w:val="18"/>
                <w:szCs w:val="18"/>
              </w:rPr>
              <w:t>D</w:t>
            </w:r>
            <w:r>
              <w:rPr>
                <w:rFonts w:ascii="宋体" w:hAnsi="宋体" w:cs="宋体" w:eastAsiaTheme="minorEastAsia"/>
                <w:sz w:val="18"/>
                <w:szCs w:val="18"/>
              </w:rPr>
              <w:t>B34/T</w:t>
            </w:r>
            <w:r>
              <w:rPr>
                <w:rFonts w:ascii="宋体" w:hAnsi="宋体" w:cs="宋体" w:eastAsiaTheme="minorEastAsia"/>
                <w:spacing w:val="1"/>
                <w:sz w:val="18"/>
                <w:szCs w:val="18"/>
              </w:rPr>
              <w:t xml:space="preserve"> </w:t>
            </w:r>
            <w:r>
              <w:rPr>
                <w:rFonts w:ascii="宋体" w:hAnsi="宋体" w:cs="宋体" w:eastAsiaTheme="minorEastAsia"/>
                <w:sz w:val="18"/>
                <w:szCs w:val="18"/>
              </w:rPr>
              <w:t>2748.1</w:t>
            </w:r>
          </w:p>
        </w:tc>
      </w:tr>
      <w:tr w14:paraId="1ED7C4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983" w:type="dxa"/>
          </w:tcPr>
          <w:p w14:paraId="1778A9EF">
            <w:pPr>
              <w:spacing w:before="226" w:line="221" w:lineRule="auto"/>
              <w:ind w:firstLine="137"/>
              <w:rPr>
                <w:rFonts w:ascii="宋体" w:hAnsi="宋体" w:cs="宋体" w:eastAsiaTheme="minorEastAsia"/>
                <w:sz w:val="18"/>
                <w:szCs w:val="18"/>
              </w:rPr>
            </w:pPr>
            <w:r>
              <w:rPr>
                <w:rFonts w:ascii="宋体" w:hAnsi="宋体" w:cs="宋体" w:eastAsiaTheme="minorEastAsia"/>
                <w:spacing w:val="-1"/>
                <w:sz w:val="18"/>
                <w:szCs w:val="18"/>
              </w:rPr>
              <w:t>指标计算</w:t>
            </w:r>
          </w:p>
          <w:p w14:paraId="6831BBAB">
            <w:pPr>
              <w:tabs>
                <w:tab w:val="left" w:pos="978"/>
              </w:tabs>
              <w:spacing w:before="189" w:line="1" w:lineRule="exact"/>
              <w:ind w:firstLine="974"/>
              <w:rPr>
                <w:rFonts w:ascii="Arial" w:hAnsi="Arial" w:cs="Arial" w:eastAsiaTheme="minorEastAsia"/>
              </w:rPr>
            </w:pPr>
            <w:r>
              <w:rPr>
                <w:rFonts w:ascii="Arial" w:hAnsi="Arial" w:eastAsia="Arial" w:cs="Arial"/>
                <w:position w:val="-8"/>
                <w:shd w:val="clear" w:color="auto" w:fill="000000"/>
              </w:rPr>
              <w:tab/>
            </w:r>
          </w:p>
        </w:tc>
        <w:tc>
          <w:tcPr>
            <w:tcW w:w="768" w:type="dxa"/>
          </w:tcPr>
          <w:p w14:paraId="3B34F4DE">
            <w:pPr>
              <w:spacing w:before="101" w:line="283" w:lineRule="exact"/>
              <w:ind w:firstLine="115"/>
              <w:rPr>
                <w:rFonts w:ascii="宋体" w:hAnsi="宋体" w:cs="宋体" w:eastAsiaTheme="minorEastAsia"/>
                <w:sz w:val="18"/>
                <w:szCs w:val="18"/>
              </w:rPr>
            </w:pPr>
            <w:r>
              <w:rPr>
                <w:rFonts w:ascii="宋体" w:hAnsi="宋体" w:cs="宋体" w:eastAsiaTheme="minorEastAsia"/>
                <w:position w:val="10"/>
                <w:sz w:val="18"/>
                <w:szCs w:val="18"/>
              </w:rPr>
              <w:t>PCIs、</w:t>
            </w:r>
          </w:p>
          <w:p w14:paraId="4CC49093">
            <w:pPr>
              <w:spacing w:line="221" w:lineRule="auto"/>
              <w:ind w:firstLine="119"/>
              <w:rPr>
                <w:rFonts w:ascii="宋体" w:hAnsi="宋体" w:cs="宋体" w:eastAsiaTheme="minorEastAsia"/>
                <w:sz w:val="18"/>
                <w:szCs w:val="18"/>
              </w:rPr>
            </w:pPr>
            <w:r>
              <w:rPr>
                <w:rFonts w:ascii="宋体" w:hAnsi="宋体" w:cs="宋体" w:eastAsiaTheme="minorEastAsia"/>
                <w:spacing w:val="-2"/>
                <w:sz w:val="18"/>
                <w:szCs w:val="18"/>
              </w:rPr>
              <w:t>修</w:t>
            </w:r>
            <w:r>
              <w:rPr>
                <w:rFonts w:ascii="宋体" w:hAnsi="宋体" w:cs="宋体" w:eastAsiaTheme="minorEastAsia"/>
                <w:spacing w:val="-1"/>
                <w:sz w:val="18"/>
                <w:szCs w:val="18"/>
              </w:rPr>
              <w:t>补率</w:t>
            </w:r>
          </w:p>
        </w:tc>
        <w:tc>
          <w:tcPr>
            <w:tcW w:w="940" w:type="dxa"/>
          </w:tcPr>
          <w:p w14:paraId="526CAB62">
            <w:pPr>
              <w:spacing w:before="101" w:line="189" w:lineRule="auto"/>
              <w:ind w:firstLine="201"/>
              <w:rPr>
                <w:rFonts w:ascii="宋体" w:hAnsi="宋体" w:cs="宋体" w:eastAsiaTheme="minorEastAsia"/>
                <w:sz w:val="18"/>
                <w:szCs w:val="18"/>
              </w:rPr>
            </w:pPr>
            <w:r>
              <w:rPr>
                <w:rFonts w:ascii="宋体" w:hAnsi="宋体" w:cs="宋体" w:eastAsiaTheme="minorEastAsia"/>
                <w:sz w:val="18"/>
                <w:szCs w:val="18"/>
              </w:rPr>
              <w:t>PCIs、</w:t>
            </w:r>
          </w:p>
          <w:p w14:paraId="14D3CE33">
            <w:pPr>
              <w:spacing w:before="128" w:line="186" w:lineRule="auto"/>
              <w:ind w:firstLine="336"/>
              <w:rPr>
                <w:rFonts w:ascii="宋体" w:hAnsi="宋体" w:cs="宋体" w:eastAsiaTheme="minorEastAsia"/>
                <w:sz w:val="18"/>
                <w:szCs w:val="18"/>
              </w:rPr>
            </w:pPr>
            <w:r>
              <w:rPr>
                <w:rFonts w:ascii="宋体" w:hAnsi="宋体" w:cs="宋体" w:eastAsiaTheme="minorEastAsia"/>
                <w:spacing w:val="-1"/>
                <w:sz w:val="18"/>
                <w:szCs w:val="18"/>
              </w:rPr>
              <w:t>T</w:t>
            </w:r>
            <w:r>
              <w:rPr>
                <w:rFonts w:ascii="宋体" w:hAnsi="宋体" w:cs="宋体" w:eastAsiaTheme="minorEastAsia"/>
                <w:sz w:val="18"/>
                <w:szCs w:val="18"/>
              </w:rPr>
              <w:t>CS</w:t>
            </w:r>
          </w:p>
        </w:tc>
        <w:tc>
          <w:tcPr>
            <w:tcW w:w="1084" w:type="dxa"/>
          </w:tcPr>
          <w:p w14:paraId="3EE01147">
            <w:pPr>
              <w:spacing w:before="101" w:line="189" w:lineRule="auto"/>
              <w:ind w:firstLine="274"/>
              <w:rPr>
                <w:rFonts w:ascii="宋体" w:hAnsi="宋体" w:cs="宋体" w:eastAsiaTheme="minorEastAsia"/>
                <w:sz w:val="18"/>
                <w:szCs w:val="18"/>
              </w:rPr>
            </w:pPr>
            <w:r>
              <w:rPr>
                <w:rFonts w:ascii="宋体" w:hAnsi="宋体" w:cs="宋体" w:eastAsiaTheme="minorEastAsia"/>
                <w:sz w:val="18"/>
                <w:szCs w:val="18"/>
              </w:rPr>
              <w:t>PCIs、</w:t>
            </w:r>
          </w:p>
          <w:p w14:paraId="65AF049D">
            <w:pPr>
              <w:spacing w:before="99" w:line="222" w:lineRule="auto"/>
              <w:ind w:firstLine="186"/>
              <w:rPr>
                <w:rFonts w:ascii="宋体" w:hAnsi="宋体" w:cs="宋体" w:eastAsiaTheme="minorEastAsia"/>
                <w:sz w:val="18"/>
                <w:szCs w:val="18"/>
              </w:rPr>
            </w:pPr>
            <w:r>
              <w:rPr>
                <w:rFonts w:ascii="宋体" w:hAnsi="宋体" w:cs="宋体" w:eastAsiaTheme="minorEastAsia"/>
                <w:spacing w:val="-1"/>
                <w:sz w:val="18"/>
                <w:szCs w:val="18"/>
              </w:rPr>
              <w:t>裂缝长</w:t>
            </w:r>
            <w:r>
              <w:rPr>
                <w:rFonts w:ascii="宋体" w:hAnsi="宋体" w:cs="宋体" w:eastAsiaTheme="minorEastAsia"/>
                <w:sz w:val="18"/>
                <w:szCs w:val="18"/>
              </w:rPr>
              <w:t>度</w:t>
            </w:r>
          </w:p>
        </w:tc>
        <w:tc>
          <w:tcPr>
            <w:tcW w:w="1127" w:type="dxa"/>
          </w:tcPr>
          <w:p w14:paraId="4C067252">
            <w:pPr>
              <w:spacing w:before="101" w:line="189" w:lineRule="auto"/>
              <w:ind w:firstLine="299"/>
              <w:rPr>
                <w:rFonts w:ascii="宋体" w:hAnsi="宋体" w:cs="宋体" w:eastAsiaTheme="minorEastAsia"/>
                <w:sz w:val="18"/>
                <w:szCs w:val="18"/>
              </w:rPr>
            </w:pPr>
            <w:r>
              <w:rPr>
                <w:rFonts w:ascii="宋体" w:hAnsi="宋体" w:cs="宋体" w:eastAsiaTheme="minorEastAsia"/>
                <w:sz w:val="18"/>
                <w:szCs w:val="18"/>
              </w:rPr>
              <w:t>PCIs、</w:t>
            </w:r>
          </w:p>
          <w:p w14:paraId="0B9DE08F">
            <w:pPr>
              <w:spacing w:before="128" w:line="186" w:lineRule="auto"/>
              <w:ind w:firstLine="385"/>
              <w:rPr>
                <w:rFonts w:ascii="宋体" w:hAnsi="宋体" w:cs="宋体" w:eastAsiaTheme="minorEastAsia"/>
                <w:sz w:val="18"/>
                <w:szCs w:val="18"/>
              </w:rPr>
            </w:pPr>
            <w:r>
              <w:rPr>
                <w:rFonts w:ascii="宋体" w:hAnsi="宋体" w:cs="宋体" w:eastAsiaTheme="minorEastAsia"/>
                <w:sz w:val="18"/>
                <w:szCs w:val="18"/>
              </w:rPr>
              <w:t>PSSI</w:t>
            </w:r>
          </w:p>
        </w:tc>
        <w:tc>
          <w:tcPr>
            <w:tcW w:w="758" w:type="dxa"/>
          </w:tcPr>
          <w:p w14:paraId="77E2B27D">
            <w:pPr>
              <w:spacing w:before="101" w:line="189" w:lineRule="auto"/>
              <w:ind w:firstLine="113"/>
              <w:rPr>
                <w:rFonts w:ascii="宋体" w:hAnsi="宋体" w:cs="宋体" w:eastAsiaTheme="minorEastAsia"/>
                <w:sz w:val="18"/>
                <w:szCs w:val="18"/>
              </w:rPr>
            </w:pPr>
            <w:r>
              <w:rPr>
                <w:rFonts w:ascii="宋体" w:hAnsi="宋体" w:cs="宋体" w:eastAsiaTheme="minorEastAsia"/>
                <w:sz w:val="18"/>
                <w:szCs w:val="18"/>
              </w:rPr>
              <w:t>PCIs、</w:t>
            </w:r>
          </w:p>
          <w:p w14:paraId="283C5F75">
            <w:pPr>
              <w:spacing w:before="128" w:line="186" w:lineRule="auto"/>
              <w:ind w:firstLine="205"/>
              <w:rPr>
                <w:rFonts w:ascii="宋体" w:hAnsi="宋体" w:cs="宋体" w:eastAsiaTheme="minorEastAsia"/>
                <w:sz w:val="18"/>
                <w:szCs w:val="18"/>
              </w:rPr>
            </w:pPr>
            <w:r>
              <w:rPr>
                <w:rFonts w:ascii="宋体" w:hAnsi="宋体" w:cs="宋体" w:eastAsiaTheme="minorEastAsia"/>
                <w:spacing w:val="-1"/>
                <w:sz w:val="18"/>
                <w:szCs w:val="18"/>
              </w:rPr>
              <w:t>R</w:t>
            </w:r>
            <w:r>
              <w:rPr>
                <w:rFonts w:ascii="宋体" w:hAnsi="宋体" w:cs="宋体" w:eastAsiaTheme="minorEastAsia"/>
                <w:sz w:val="18"/>
                <w:szCs w:val="18"/>
              </w:rPr>
              <w:t>DIs</w:t>
            </w:r>
          </w:p>
        </w:tc>
        <w:tc>
          <w:tcPr>
            <w:tcW w:w="984" w:type="dxa"/>
          </w:tcPr>
          <w:p w14:paraId="737F9E1A">
            <w:pPr>
              <w:spacing w:before="226" w:line="221" w:lineRule="auto"/>
              <w:ind w:firstLine="226"/>
              <w:rPr>
                <w:rFonts w:hint="default" w:ascii="宋体" w:hAnsi="宋体" w:cs="宋体" w:eastAsiaTheme="minorEastAsia"/>
                <w:sz w:val="18"/>
                <w:szCs w:val="18"/>
                <w:lang w:val="en-US" w:eastAsia="zh-CN"/>
              </w:rPr>
            </w:pPr>
            <w:r>
              <w:rPr>
                <w:rFonts w:hint="eastAsia" w:ascii="宋体" w:hAnsi="宋体" w:cs="宋体" w:eastAsiaTheme="minorEastAsia"/>
                <w:spacing w:val="-1"/>
                <w:sz w:val="18"/>
                <w:szCs w:val="18"/>
                <w:lang w:val="en-US" w:eastAsia="zh-CN"/>
              </w:rPr>
              <w:t>PBI</w:t>
            </w:r>
          </w:p>
        </w:tc>
        <w:tc>
          <w:tcPr>
            <w:tcW w:w="705" w:type="dxa"/>
          </w:tcPr>
          <w:p w14:paraId="539F03B2">
            <w:pPr>
              <w:spacing w:before="226" w:line="222" w:lineRule="auto"/>
              <w:ind w:firstLine="178"/>
              <w:rPr>
                <w:rFonts w:ascii="宋体" w:hAnsi="宋体" w:cs="宋体" w:eastAsiaTheme="minorEastAsia"/>
                <w:sz w:val="18"/>
                <w:szCs w:val="18"/>
              </w:rPr>
            </w:pPr>
            <w:r>
              <w:rPr>
                <w:rFonts w:ascii="宋体" w:hAnsi="宋体" w:cs="宋体" w:eastAsiaTheme="minorEastAsia"/>
                <w:spacing w:val="-1"/>
                <w:sz w:val="18"/>
                <w:szCs w:val="18"/>
              </w:rPr>
              <w:t>连</w:t>
            </w:r>
            <w:r>
              <w:rPr>
                <w:rFonts w:ascii="宋体" w:hAnsi="宋体" w:cs="宋体" w:eastAsiaTheme="minorEastAsia"/>
                <w:sz w:val="18"/>
                <w:szCs w:val="18"/>
              </w:rPr>
              <w:t>续</w:t>
            </w:r>
          </w:p>
        </w:tc>
        <w:tc>
          <w:tcPr>
            <w:tcW w:w="2226" w:type="dxa"/>
          </w:tcPr>
          <w:p w14:paraId="3255C2B3">
            <w:pPr>
              <w:spacing w:before="226" w:line="226" w:lineRule="auto"/>
              <w:ind w:firstLine="526"/>
              <w:rPr>
                <w:rFonts w:ascii="宋体" w:hAnsi="宋体" w:cs="宋体" w:eastAsiaTheme="minorEastAsia"/>
                <w:sz w:val="18"/>
                <w:szCs w:val="18"/>
              </w:rPr>
            </w:pPr>
            <w:r>
              <w:rPr>
                <w:rFonts w:ascii="宋体" w:hAnsi="宋体" w:cs="宋体" w:eastAsiaTheme="minorEastAsia"/>
                <w:spacing w:val="1"/>
                <w:sz w:val="18"/>
                <w:szCs w:val="18"/>
              </w:rPr>
              <w:t>D</w:t>
            </w:r>
            <w:r>
              <w:rPr>
                <w:rFonts w:ascii="宋体" w:hAnsi="宋体" w:cs="宋体" w:eastAsiaTheme="minorEastAsia"/>
                <w:sz w:val="18"/>
                <w:szCs w:val="18"/>
              </w:rPr>
              <w:t>B34/T</w:t>
            </w:r>
            <w:r>
              <w:rPr>
                <w:rFonts w:ascii="宋体" w:hAnsi="宋体" w:cs="宋体" w:eastAsiaTheme="minorEastAsia"/>
                <w:spacing w:val="1"/>
                <w:sz w:val="18"/>
                <w:szCs w:val="18"/>
              </w:rPr>
              <w:t xml:space="preserve"> </w:t>
            </w:r>
            <w:r>
              <w:rPr>
                <w:rFonts w:ascii="宋体" w:hAnsi="宋体" w:cs="宋体" w:eastAsiaTheme="minorEastAsia"/>
                <w:sz w:val="18"/>
                <w:szCs w:val="18"/>
              </w:rPr>
              <w:t>2748.1</w:t>
            </w:r>
          </w:p>
        </w:tc>
      </w:tr>
      <w:tr w14:paraId="40089F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983" w:type="dxa"/>
          </w:tcPr>
          <w:p w14:paraId="0C92DCCB">
            <w:pPr>
              <w:spacing w:line="315" w:lineRule="auto"/>
              <w:rPr>
                <w:rFonts w:ascii="Arial" w:hAnsi="Arial" w:cs="Arial" w:eastAsiaTheme="minorEastAsia"/>
              </w:rPr>
            </w:pPr>
          </w:p>
          <w:p w14:paraId="218E6FE1">
            <w:pPr>
              <w:spacing w:line="315" w:lineRule="auto"/>
              <w:rPr>
                <w:rFonts w:ascii="Arial" w:hAnsi="Arial" w:cs="Arial" w:eastAsiaTheme="minorEastAsia"/>
              </w:rPr>
            </w:pPr>
          </w:p>
          <w:p w14:paraId="638F58ED">
            <w:pPr>
              <w:spacing w:before="58" w:line="221" w:lineRule="auto"/>
              <w:ind w:firstLine="139"/>
              <w:rPr>
                <w:rFonts w:ascii="宋体" w:hAnsi="宋体" w:cs="宋体" w:eastAsiaTheme="minorEastAsia"/>
                <w:sz w:val="18"/>
                <w:szCs w:val="18"/>
              </w:rPr>
            </w:pPr>
            <w:r>
              <w:rPr>
                <w:rFonts w:ascii="宋体" w:hAnsi="宋体" w:cs="宋体" w:eastAsiaTheme="minorEastAsia"/>
                <w:spacing w:val="-2"/>
                <w:sz w:val="18"/>
                <w:szCs w:val="18"/>
              </w:rPr>
              <w:t>室内</w:t>
            </w:r>
            <w:r>
              <w:rPr>
                <w:rFonts w:ascii="宋体" w:hAnsi="宋体" w:cs="宋体" w:eastAsiaTheme="minorEastAsia"/>
                <w:spacing w:val="-1"/>
                <w:sz w:val="18"/>
                <w:szCs w:val="18"/>
              </w:rPr>
              <w:t>试验</w:t>
            </w:r>
          </w:p>
        </w:tc>
        <w:tc>
          <w:tcPr>
            <w:tcW w:w="768" w:type="dxa"/>
          </w:tcPr>
          <w:p w14:paraId="29C5A09F">
            <w:pPr>
              <w:spacing w:line="329" w:lineRule="auto"/>
              <w:rPr>
                <w:rFonts w:ascii="Arial" w:hAnsi="Arial" w:cs="Arial" w:eastAsiaTheme="minorEastAsia"/>
              </w:rPr>
            </w:pPr>
          </w:p>
          <w:p w14:paraId="14144DF7">
            <w:pPr>
              <w:spacing w:line="329" w:lineRule="auto"/>
              <w:rPr>
                <w:rFonts w:ascii="Arial" w:hAnsi="Arial" w:cs="Arial" w:eastAsiaTheme="minorEastAsia"/>
              </w:rPr>
            </w:pPr>
          </w:p>
          <w:p w14:paraId="495C5FE8">
            <w:pPr>
              <w:spacing w:before="58" w:line="186" w:lineRule="auto"/>
              <w:ind w:firstLine="343"/>
              <w:rPr>
                <w:rFonts w:ascii="宋体" w:hAnsi="宋体" w:cs="宋体" w:eastAsiaTheme="minorEastAsia"/>
                <w:sz w:val="18"/>
                <w:szCs w:val="18"/>
              </w:rPr>
            </w:pPr>
            <w:r>
              <w:rPr>
                <w:rFonts w:ascii="宋体" w:hAnsi="宋体" w:cs="宋体" w:eastAsiaTheme="minorEastAsia"/>
                <w:sz w:val="18"/>
                <w:szCs w:val="18"/>
              </w:rPr>
              <w:t>O</w:t>
            </w:r>
          </w:p>
        </w:tc>
        <w:tc>
          <w:tcPr>
            <w:tcW w:w="940" w:type="dxa"/>
          </w:tcPr>
          <w:p w14:paraId="5C90A617">
            <w:pPr>
              <w:spacing w:line="329" w:lineRule="auto"/>
              <w:rPr>
                <w:rFonts w:ascii="Arial" w:hAnsi="Arial" w:cs="Arial" w:eastAsiaTheme="minorEastAsia"/>
              </w:rPr>
            </w:pPr>
          </w:p>
          <w:p w14:paraId="54A1F70B">
            <w:pPr>
              <w:spacing w:line="329" w:lineRule="auto"/>
              <w:rPr>
                <w:rFonts w:ascii="Arial" w:hAnsi="Arial" w:cs="Arial" w:eastAsiaTheme="minorEastAsia"/>
              </w:rPr>
            </w:pPr>
          </w:p>
          <w:p w14:paraId="31B5F5B3">
            <w:pPr>
              <w:spacing w:before="58" w:line="186" w:lineRule="auto"/>
              <w:ind w:firstLine="429"/>
              <w:rPr>
                <w:rFonts w:ascii="宋体" w:hAnsi="宋体" w:cs="宋体" w:eastAsiaTheme="minorEastAsia"/>
                <w:sz w:val="18"/>
                <w:szCs w:val="18"/>
              </w:rPr>
            </w:pPr>
            <w:r>
              <w:rPr>
                <w:rFonts w:ascii="宋体" w:hAnsi="宋体" w:cs="宋体" w:eastAsiaTheme="minorEastAsia"/>
                <w:sz w:val="18"/>
                <w:szCs w:val="18"/>
              </w:rPr>
              <w:t>O</w:t>
            </w:r>
          </w:p>
        </w:tc>
        <w:tc>
          <w:tcPr>
            <w:tcW w:w="1084" w:type="dxa"/>
          </w:tcPr>
          <w:p w14:paraId="02F454CD">
            <w:pPr>
              <w:spacing w:line="329" w:lineRule="auto"/>
              <w:rPr>
                <w:rFonts w:ascii="Arial" w:hAnsi="Arial" w:cs="Arial" w:eastAsiaTheme="minorEastAsia"/>
              </w:rPr>
            </w:pPr>
          </w:p>
          <w:p w14:paraId="3F34AE33">
            <w:pPr>
              <w:spacing w:line="329" w:lineRule="auto"/>
              <w:rPr>
                <w:rFonts w:ascii="Arial" w:hAnsi="Arial" w:cs="Arial" w:eastAsiaTheme="minorEastAsia"/>
              </w:rPr>
            </w:pPr>
          </w:p>
          <w:p w14:paraId="1466D4E8">
            <w:pPr>
              <w:spacing w:before="58" w:line="186" w:lineRule="auto"/>
              <w:ind w:firstLine="502"/>
              <w:rPr>
                <w:rFonts w:ascii="宋体" w:hAnsi="宋体" w:cs="宋体" w:eastAsiaTheme="minorEastAsia"/>
                <w:sz w:val="18"/>
                <w:szCs w:val="18"/>
              </w:rPr>
            </w:pPr>
            <w:r>
              <w:rPr>
                <w:rFonts w:ascii="宋体" w:hAnsi="宋体" w:cs="宋体" w:eastAsiaTheme="minorEastAsia"/>
                <w:sz w:val="18"/>
                <w:szCs w:val="18"/>
              </w:rPr>
              <w:t>O</w:t>
            </w:r>
          </w:p>
        </w:tc>
        <w:tc>
          <w:tcPr>
            <w:tcW w:w="1127" w:type="dxa"/>
          </w:tcPr>
          <w:p w14:paraId="37138A11">
            <w:pPr>
              <w:spacing w:line="329" w:lineRule="auto"/>
              <w:rPr>
                <w:rFonts w:ascii="Arial" w:hAnsi="Arial" w:cs="Arial" w:eastAsiaTheme="minorEastAsia"/>
              </w:rPr>
            </w:pPr>
          </w:p>
          <w:p w14:paraId="6FEC3B28">
            <w:pPr>
              <w:spacing w:line="329" w:lineRule="auto"/>
              <w:rPr>
                <w:rFonts w:ascii="Arial" w:hAnsi="Arial" w:cs="Arial" w:eastAsiaTheme="minorEastAsia"/>
              </w:rPr>
            </w:pPr>
          </w:p>
          <w:p w14:paraId="456FCB77">
            <w:pPr>
              <w:spacing w:before="58" w:line="186" w:lineRule="auto"/>
              <w:ind w:firstLine="522"/>
              <w:rPr>
                <w:rFonts w:ascii="宋体" w:hAnsi="宋体" w:cs="宋体" w:eastAsiaTheme="minorEastAsia"/>
                <w:sz w:val="18"/>
                <w:szCs w:val="18"/>
              </w:rPr>
            </w:pPr>
            <w:r>
              <w:rPr>
                <w:rFonts w:ascii="宋体" w:hAnsi="宋体" w:cs="宋体" w:eastAsiaTheme="minorEastAsia"/>
                <w:sz w:val="18"/>
                <w:szCs w:val="18"/>
              </w:rPr>
              <w:t>O</w:t>
            </w:r>
          </w:p>
        </w:tc>
        <w:tc>
          <w:tcPr>
            <w:tcW w:w="758" w:type="dxa"/>
          </w:tcPr>
          <w:p w14:paraId="5DB68AA3">
            <w:pPr>
              <w:spacing w:line="329" w:lineRule="auto"/>
              <w:rPr>
                <w:rFonts w:ascii="Arial" w:hAnsi="Arial" w:cs="Arial" w:eastAsiaTheme="minorEastAsia"/>
              </w:rPr>
            </w:pPr>
          </w:p>
          <w:p w14:paraId="14585B53">
            <w:pPr>
              <w:spacing w:line="329" w:lineRule="auto"/>
              <w:rPr>
                <w:rFonts w:ascii="Arial" w:hAnsi="Arial" w:cs="Arial" w:eastAsiaTheme="minorEastAsia"/>
              </w:rPr>
            </w:pPr>
          </w:p>
          <w:p w14:paraId="023C175B">
            <w:pPr>
              <w:spacing w:before="58" w:line="186" w:lineRule="auto"/>
              <w:ind w:firstLine="341"/>
              <w:rPr>
                <w:rFonts w:ascii="宋体" w:hAnsi="宋体" w:cs="宋体" w:eastAsiaTheme="minorEastAsia"/>
                <w:sz w:val="18"/>
                <w:szCs w:val="18"/>
              </w:rPr>
            </w:pPr>
            <w:r>
              <w:rPr>
                <w:rFonts w:ascii="宋体" w:hAnsi="宋体" w:cs="宋体" w:eastAsiaTheme="minorEastAsia"/>
                <w:sz w:val="18"/>
                <w:szCs w:val="18"/>
              </w:rPr>
              <w:t>O</w:t>
            </w:r>
          </w:p>
        </w:tc>
        <w:tc>
          <w:tcPr>
            <w:tcW w:w="984" w:type="dxa"/>
          </w:tcPr>
          <w:p w14:paraId="11656472">
            <w:pPr>
              <w:spacing w:line="329" w:lineRule="auto"/>
              <w:rPr>
                <w:rFonts w:ascii="Arial" w:hAnsi="Arial" w:cs="Arial" w:eastAsiaTheme="minorEastAsia"/>
              </w:rPr>
            </w:pPr>
          </w:p>
          <w:p w14:paraId="48B7830A">
            <w:pPr>
              <w:spacing w:line="329" w:lineRule="auto"/>
              <w:rPr>
                <w:rFonts w:ascii="Arial" w:hAnsi="Arial" w:cs="Arial" w:eastAsiaTheme="minorEastAsia"/>
              </w:rPr>
            </w:pPr>
          </w:p>
          <w:p w14:paraId="4E3014A8">
            <w:pPr>
              <w:spacing w:before="58" w:line="186" w:lineRule="auto"/>
              <w:ind w:firstLine="447"/>
              <w:rPr>
                <w:rFonts w:ascii="宋体" w:hAnsi="宋体" w:cs="宋体" w:eastAsiaTheme="minorEastAsia"/>
                <w:sz w:val="18"/>
                <w:szCs w:val="18"/>
              </w:rPr>
            </w:pPr>
            <w:r>
              <w:rPr>
                <w:rFonts w:ascii="宋体" w:hAnsi="宋体" w:cs="宋体" w:eastAsiaTheme="minorEastAsia"/>
                <w:sz w:val="18"/>
                <w:szCs w:val="18"/>
              </w:rPr>
              <w:t>O</w:t>
            </w:r>
          </w:p>
        </w:tc>
        <w:tc>
          <w:tcPr>
            <w:tcW w:w="705" w:type="dxa"/>
          </w:tcPr>
          <w:p w14:paraId="15A9A57C">
            <w:pPr>
              <w:spacing w:line="315" w:lineRule="auto"/>
              <w:rPr>
                <w:rFonts w:ascii="Arial" w:hAnsi="Arial" w:cs="Arial" w:eastAsiaTheme="minorEastAsia"/>
              </w:rPr>
            </w:pPr>
          </w:p>
          <w:p w14:paraId="4E9A387C">
            <w:pPr>
              <w:spacing w:line="315" w:lineRule="auto"/>
              <w:rPr>
                <w:rFonts w:ascii="Arial" w:hAnsi="Arial" w:cs="Arial" w:eastAsiaTheme="minorEastAsia"/>
              </w:rPr>
            </w:pPr>
          </w:p>
          <w:p w14:paraId="42E83393">
            <w:pPr>
              <w:spacing w:before="58" w:line="221" w:lineRule="auto"/>
              <w:ind w:firstLine="178"/>
              <w:rPr>
                <w:rFonts w:ascii="宋体" w:hAnsi="宋体" w:cs="宋体" w:eastAsiaTheme="minorEastAsia"/>
                <w:sz w:val="18"/>
                <w:szCs w:val="18"/>
              </w:rPr>
            </w:pPr>
            <w:r>
              <w:rPr>
                <w:rFonts w:ascii="宋体" w:hAnsi="宋体" w:cs="宋体" w:eastAsiaTheme="minorEastAsia"/>
                <w:spacing w:val="-1"/>
                <w:sz w:val="18"/>
                <w:szCs w:val="18"/>
              </w:rPr>
              <w:t>抽</w:t>
            </w:r>
            <w:r>
              <w:rPr>
                <w:rFonts w:ascii="宋体" w:hAnsi="宋体" w:cs="宋体" w:eastAsiaTheme="minorEastAsia"/>
                <w:sz w:val="18"/>
                <w:szCs w:val="18"/>
              </w:rPr>
              <w:t>样</w:t>
            </w:r>
          </w:p>
        </w:tc>
        <w:tc>
          <w:tcPr>
            <w:tcW w:w="2226" w:type="dxa"/>
          </w:tcPr>
          <w:p w14:paraId="59CE5E6E">
            <w:pPr>
              <w:spacing w:before="131" w:line="189" w:lineRule="auto"/>
              <w:jc w:val="center"/>
              <w:rPr>
                <w:rFonts w:ascii="宋体" w:hAnsi="宋体" w:cs="宋体" w:eastAsiaTheme="minorEastAsia"/>
                <w:sz w:val="18"/>
                <w:szCs w:val="18"/>
              </w:rPr>
            </w:pPr>
            <w:r>
              <w:rPr>
                <w:rFonts w:ascii="宋体" w:hAnsi="宋体" w:cs="宋体" w:eastAsiaTheme="minorEastAsia"/>
                <w:sz w:val="18"/>
                <w:szCs w:val="18"/>
              </w:rPr>
              <w:t>JTG E20</w:t>
            </w:r>
          </w:p>
          <w:p w14:paraId="64D33146">
            <w:pPr>
              <w:spacing w:before="127" w:line="185" w:lineRule="auto"/>
              <w:jc w:val="center"/>
              <w:rPr>
                <w:rFonts w:ascii="宋体" w:hAnsi="宋体" w:cs="宋体" w:eastAsiaTheme="minorEastAsia"/>
                <w:sz w:val="18"/>
                <w:szCs w:val="18"/>
              </w:rPr>
            </w:pPr>
            <w:r>
              <w:rPr>
                <w:rFonts w:ascii="宋体" w:hAnsi="宋体" w:cs="宋体" w:eastAsiaTheme="minorEastAsia"/>
                <w:sz w:val="18"/>
                <w:szCs w:val="18"/>
              </w:rPr>
              <w:t>JTG 3432</w:t>
            </w:r>
          </w:p>
          <w:p w14:paraId="79A77F8A">
            <w:pPr>
              <w:spacing w:before="131" w:line="312" w:lineRule="exact"/>
              <w:jc w:val="center"/>
              <w:rPr>
                <w:rFonts w:ascii="宋体" w:hAnsi="宋体" w:cs="宋体" w:eastAsiaTheme="minorEastAsia"/>
                <w:sz w:val="18"/>
                <w:szCs w:val="18"/>
              </w:rPr>
            </w:pPr>
            <w:r>
              <w:rPr>
                <w:rFonts w:ascii="宋体" w:hAnsi="宋体" w:cs="宋体" w:eastAsiaTheme="minorEastAsia"/>
                <w:position w:val="12"/>
                <w:sz w:val="18"/>
                <w:szCs w:val="18"/>
              </w:rPr>
              <w:t>JTG 3441</w:t>
            </w:r>
          </w:p>
          <w:p w14:paraId="267D4B44">
            <w:pPr>
              <w:spacing w:before="1" w:line="184" w:lineRule="auto"/>
              <w:jc w:val="center"/>
              <w:rPr>
                <w:rFonts w:ascii="宋体" w:hAnsi="宋体" w:cs="宋体" w:eastAsiaTheme="minorEastAsia"/>
                <w:sz w:val="18"/>
                <w:szCs w:val="18"/>
              </w:rPr>
            </w:pPr>
            <w:r>
              <w:rPr>
                <w:rFonts w:ascii="宋体" w:hAnsi="宋体" w:cs="宋体" w:eastAsiaTheme="minorEastAsia"/>
                <w:sz w:val="18"/>
                <w:szCs w:val="18"/>
              </w:rPr>
              <w:t>JTG</w:t>
            </w:r>
            <w:r>
              <w:rPr>
                <w:rFonts w:ascii="宋体" w:hAnsi="宋体" w:cs="宋体" w:eastAsiaTheme="minorEastAsia"/>
                <w:spacing w:val="-2"/>
                <w:sz w:val="18"/>
                <w:szCs w:val="18"/>
              </w:rPr>
              <w:t xml:space="preserve"> </w:t>
            </w:r>
            <w:r>
              <w:rPr>
                <w:rFonts w:ascii="宋体" w:hAnsi="宋体" w:cs="宋体" w:eastAsiaTheme="minorEastAsia"/>
                <w:sz w:val="18"/>
                <w:szCs w:val="18"/>
              </w:rPr>
              <w:t>E40</w:t>
            </w:r>
          </w:p>
        </w:tc>
      </w:tr>
      <w:tr w14:paraId="1341E4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4" w:hRule="atLeast"/>
        </w:trPr>
        <w:tc>
          <w:tcPr>
            <w:tcW w:w="9575" w:type="dxa"/>
            <w:gridSpan w:val="9"/>
          </w:tcPr>
          <w:p w14:paraId="10F88172">
            <w:pPr>
              <w:spacing w:before="41" w:line="239" w:lineRule="exact"/>
              <w:ind w:firstLine="488"/>
              <w:rPr>
                <w:rFonts w:ascii="宋体" w:hAnsi="宋体" w:cs="宋体" w:eastAsiaTheme="minorEastAsia"/>
                <w:sz w:val="18"/>
                <w:szCs w:val="18"/>
              </w:rPr>
            </w:pPr>
            <w:r>
              <w:rPr>
                <w:rFonts w:ascii="黑体" w:hAnsi="黑体" w:eastAsia="黑体" w:cs="黑体"/>
                <w:sz w:val="18"/>
                <w:szCs w:val="18"/>
              </w:rPr>
              <w:t>注1</w:t>
            </w:r>
            <w:r>
              <w:rPr>
                <w:rFonts w:ascii="黑体" w:hAnsi="黑体" w:eastAsia="黑体" w:cs="黑体"/>
                <w:spacing w:val="-14"/>
                <w:sz w:val="18"/>
                <w:szCs w:val="18"/>
              </w:rPr>
              <w:t>：</w:t>
            </w:r>
            <w:r>
              <w:rPr>
                <w:rFonts w:ascii="黑体" w:hAnsi="黑体" w:eastAsia="黑体" w:cs="黑体"/>
                <w:spacing w:val="-90"/>
                <w:sz w:val="18"/>
                <w:szCs w:val="18"/>
              </w:rPr>
              <w:t xml:space="preserve"> </w:t>
            </w:r>
            <w:r>
              <w:rPr>
                <w:rFonts w:ascii="宋体" w:hAnsi="宋体" w:cs="宋体" w:eastAsiaTheme="minorEastAsia"/>
                <w:sz w:val="18"/>
                <w:szCs w:val="18"/>
              </w:rPr>
              <w:t>表中“</w:t>
            </w:r>
            <w:r>
              <w:rPr>
                <w:rFonts w:ascii="Times New Roman" w:hAnsi="Times New Roman" w:eastAsia="Times New Roman" w:cs="Arial"/>
                <w:sz w:val="18"/>
                <w:szCs w:val="18"/>
              </w:rPr>
              <w:t>√</w:t>
            </w:r>
            <w:r>
              <w:rPr>
                <w:rFonts w:ascii="Times New Roman" w:hAnsi="Times New Roman" w:eastAsia="Times New Roman" w:cs="Arial"/>
                <w:spacing w:val="-1"/>
                <w:sz w:val="18"/>
                <w:szCs w:val="18"/>
              </w:rPr>
              <w:t xml:space="preserve"> </w:t>
            </w:r>
            <w:r>
              <w:rPr>
                <w:rFonts w:ascii="宋体" w:hAnsi="宋体" w:cs="宋体" w:eastAsiaTheme="minorEastAsia"/>
                <w:sz w:val="18"/>
                <w:szCs w:val="18"/>
              </w:rPr>
              <w:t>”为必检项</w:t>
            </w:r>
            <w:r>
              <w:rPr>
                <w:rFonts w:ascii="宋体" w:hAnsi="宋体" w:cs="宋体" w:eastAsiaTheme="minorEastAsia"/>
                <w:spacing w:val="-14"/>
                <w:sz w:val="18"/>
                <w:szCs w:val="18"/>
              </w:rPr>
              <w:t>，</w:t>
            </w:r>
            <w:r>
              <w:rPr>
                <w:rFonts w:ascii="宋体" w:hAnsi="宋体" w:cs="宋体" w:eastAsiaTheme="minorEastAsia"/>
                <w:sz w:val="18"/>
                <w:szCs w:val="18"/>
              </w:rPr>
              <w:t>“O”为可检项</w:t>
            </w:r>
            <w:r>
              <w:rPr>
                <w:rFonts w:ascii="宋体" w:hAnsi="宋体" w:cs="宋体" w:eastAsiaTheme="minorEastAsia"/>
                <w:spacing w:val="-14"/>
                <w:sz w:val="18"/>
                <w:szCs w:val="18"/>
              </w:rPr>
              <w:t>，</w:t>
            </w:r>
            <w:r>
              <w:rPr>
                <w:rFonts w:ascii="宋体" w:hAnsi="宋体" w:cs="宋体" w:eastAsiaTheme="minorEastAsia"/>
                <w:sz w:val="18"/>
                <w:szCs w:val="18"/>
              </w:rPr>
              <w:t>“—”为不检项</w:t>
            </w:r>
            <w:r>
              <w:rPr>
                <w:rFonts w:ascii="宋体" w:hAnsi="宋体" w:cs="宋体" w:eastAsiaTheme="minorEastAsia"/>
                <w:spacing w:val="-14"/>
                <w:sz w:val="18"/>
                <w:szCs w:val="18"/>
              </w:rPr>
              <w:t>；</w:t>
            </w:r>
          </w:p>
          <w:p w14:paraId="46D306F4">
            <w:pPr>
              <w:spacing w:before="100" w:line="320" w:lineRule="auto"/>
              <w:ind w:left="488" w:right="1131"/>
              <w:rPr>
                <w:rFonts w:ascii="宋体" w:hAnsi="宋体" w:cs="宋体" w:eastAsiaTheme="minorEastAsia"/>
                <w:sz w:val="18"/>
                <w:szCs w:val="18"/>
              </w:rPr>
            </w:pPr>
            <w:r>
              <w:rPr>
                <w:rFonts w:ascii="黑体" w:hAnsi="黑体" w:eastAsia="黑体" w:cs="黑体"/>
                <w:sz w:val="18"/>
                <w:szCs w:val="18"/>
              </w:rPr>
              <w:t>注2</w:t>
            </w:r>
            <w:r>
              <w:rPr>
                <w:rFonts w:ascii="黑体" w:hAnsi="黑体" w:eastAsia="黑体" w:cs="黑体"/>
                <w:spacing w:val="-11"/>
                <w:sz w:val="18"/>
                <w:szCs w:val="18"/>
              </w:rPr>
              <w:t>：</w:t>
            </w:r>
            <w:r>
              <w:rPr>
                <w:rFonts w:ascii="黑体" w:hAnsi="黑体" w:eastAsia="黑体" w:cs="黑体"/>
                <w:spacing w:val="-90"/>
                <w:sz w:val="18"/>
                <w:szCs w:val="18"/>
              </w:rPr>
              <w:t xml:space="preserve"> </w:t>
            </w:r>
            <w:r>
              <w:rPr>
                <w:rFonts w:ascii="宋体" w:hAnsi="宋体" w:cs="宋体" w:eastAsiaTheme="minorEastAsia"/>
                <w:sz w:val="18"/>
                <w:szCs w:val="18"/>
              </w:rPr>
              <w:t>现场踏勘应记录病害路段桩号</w:t>
            </w:r>
            <w:r>
              <w:rPr>
                <w:rFonts w:ascii="宋体" w:hAnsi="宋体" w:cs="宋体" w:eastAsiaTheme="minorEastAsia"/>
                <w:spacing w:val="-10"/>
                <w:sz w:val="18"/>
                <w:szCs w:val="18"/>
              </w:rPr>
              <w:t>、</w:t>
            </w:r>
            <w:r>
              <w:rPr>
                <w:rFonts w:ascii="宋体" w:hAnsi="宋体" w:cs="宋体" w:eastAsiaTheme="minorEastAsia"/>
                <w:sz w:val="18"/>
                <w:szCs w:val="18"/>
              </w:rPr>
              <w:t>破坏类型</w:t>
            </w:r>
            <w:r>
              <w:rPr>
                <w:rFonts w:ascii="宋体" w:hAnsi="宋体" w:cs="宋体" w:eastAsiaTheme="minorEastAsia"/>
                <w:spacing w:val="-10"/>
                <w:sz w:val="18"/>
                <w:szCs w:val="18"/>
              </w:rPr>
              <w:t>、</w:t>
            </w:r>
            <w:r>
              <w:rPr>
                <w:rFonts w:ascii="宋体" w:hAnsi="宋体" w:cs="宋体" w:eastAsiaTheme="minorEastAsia"/>
                <w:sz w:val="18"/>
                <w:szCs w:val="18"/>
              </w:rPr>
              <w:t>损坏程度</w:t>
            </w:r>
            <w:r>
              <w:rPr>
                <w:rFonts w:ascii="宋体" w:hAnsi="宋体" w:cs="宋体" w:eastAsiaTheme="minorEastAsia"/>
                <w:spacing w:val="-10"/>
                <w:sz w:val="18"/>
                <w:szCs w:val="18"/>
              </w:rPr>
              <w:t>、</w:t>
            </w:r>
            <w:r>
              <w:rPr>
                <w:rFonts w:ascii="宋体" w:hAnsi="宋体" w:cs="宋体" w:eastAsiaTheme="minorEastAsia"/>
                <w:sz w:val="18"/>
                <w:szCs w:val="18"/>
              </w:rPr>
              <w:t>病害分布</w:t>
            </w:r>
            <w:r>
              <w:rPr>
                <w:rFonts w:ascii="宋体" w:hAnsi="宋体" w:cs="宋体" w:eastAsiaTheme="minorEastAsia"/>
                <w:spacing w:val="-10"/>
                <w:sz w:val="18"/>
                <w:szCs w:val="18"/>
              </w:rPr>
              <w:t>、</w:t>
            </w:r>
            <w:r>
              <w:rPr>
                <w:rFonts w:ascii="宋体" w:hAnsi="宋体" w:cs="宋体" w:eastAsiaTheme="minorEastAsia"/>
                <w:sz w:val="18"/>
                <w:szCs w:val="18"/>
              </w:rPr>
              <w:t>路面排水状况及填土高度等</w:t>
            </w:r>
            <w:r>
              <w:rPr>
                <w:rFonts w:ascii="宋体" w:hAnsi="宋体" w:cs="宋体" w:eastAsiaTheme="minorEastAsia"/>
                <w:spacing w:val="-10"/>
                <w:sz w:val="18"/>
                <w:szCs w:val="18"/>
              </w:rPr>
              <w:t>；</w:t>
            </w:r>
          </w:p>
          <w:p w14:paraId="798DC401">
            <w:pPr>
              <w:spacing w:before="100" w:line="320" w:lineRule="auto"/>
              <w:ind w:left="488" w:right="1131"/>
              <w:rPr>
                <w:rFonts w:ascii="黑体" w:hAnsi="黑体" w:eastAsia="黑体" w:cs="黑体"/>
                <w:sz w:val="18"/>
                <w:szCs w:val="18"/>
              </w:rPr>
            </w:pPr>
            <w:r>
              <w:rPr>
                <w:rFonts w:ascii="黑体" w:hAnsi="黑体" w:eastAsia="黑体" w:cs="黑体"/>
                <w:sz w:val="18"/>
                <w:szCs w:val="18"/>
              </w:rPr>
              <w:t>注3： 钻取芯样应记录芯样各结构层厚度、病害类型、损坏程度、空洞情况、完整性及层间粘结状况；</w:t>
            </w:r>
          </w:p>
          <w:p w14:paraId="100B25E8">
            <w:pPr>
              <w:spacing w:line="220" w:lineRule="auto"/>
              <w:ind w:firstLine="488"/>
              <w:rPr>
                <w:rFonts w:ascii="宋体" w:hAnsi="宋体" w:cs="宋体" w:eastAsiaTheme="minorEastAsia"/>
                <w:sz w:val="18"/>
                <w:szCs w:val="18"/>
              </w:rPr>
            </w:pPr>
            <w:r>
              <w:rPr>
                <w:rFonts w:ascii="黑体" w:hAnsi="黑体" w:eastAsia="黑体" w:cs="黑体"/>
                <w:sz w:val="18"/>
                <w:szCs w:val="18"/>
              </w:rPr>
              <w:t>注4</w:t>
            </w:r>
            <w:r>
              <w:rPr>
                <w:rFonts w:hint="eastAsia" w:ascii="黑体" w:hAnsi="黑体" w:eastAsia="黑体" w:cs="黑体"/>
                <w:sz w:val="18"/>
                <w:szCs w:val="18"/>
              </w:rPr>
              <w:t>：</w:t>
            </w:r>
            <w:r>
              <w:rPr>
                <w:rFonts w:ascii="黑体" w:hAnsi="黑体" w:eastAsia="黑体" w:cs="黑体"/>
                <w:spacing w:val="-90"/>
                <w:sz w:val="18"/>
                <w:szCs w:val="18"/>
              </w:rPr>
              <w:t xml:space="preserve">： </w:t>
            </w:r>
            <w:r>
              <w:rPr>
                <w:rFonts w:ascii="宋体" w:hAnsi="宋体" w:cs="宋体" w:eastAsiaTheme="minorEastAsia"/>
                <w:sz w:val="18"/>
                <w:szCs w:val="18"/>
              </w:rPr>
              <w:t>高程测量的起</w:t>
            </w:r>
            <w:r>
              <w:rPr>
                <w:rFonts w:ascii="宋体" w:hAnsi="宋体" w:cs="宋体" w:eastAsiaTheme="minorEastAsia"/>
                <w:spacing w:val="-90"/>
                <w:sz w:val="18"/>
                <w:szCs w:val="18"/>
              </w:rPr>
              <w:t>、</w:t>
            </w:r>
            <w:r>
              <w:rPr>
                <w:rFonts w:ascii="宋体" w:hAnsi="宋体" w:cs="宋体" w:eastAsiaTheme="minorEastAsia"/>
                <w:sz w:val="18"/>
                <w:szCs w:val="18"/>
              </w:rPr>
              <w:t>终点分别为病害路段两端向外延长 20</w:t>
            </w:r>
            <w:r>
              <w:rPr>
                <w:rFonts w:ascii="宋体" w:hAnsi="宋体" w:cs="宋体" w:eastAsiaTheme="minorEastAsia"/>
                <w:spacing w:val="-1"/>
                <w:sz w:val="18"/>
                <w:szCs w:val="18"/>
              </w:rPr>
              <w:t>～</w:t>
            </w:r>
            <w:r>
              <w:rPr>
                <w:rFonts w:ascii="宋体" w:hAnsi="宋体" w:cs="宋体" w:eastAsiaTheme="minorEastAsia"/>
                <w:sz w:val="18"/>
                <w:szCs w:val="18"/>
              </w:rPr>
              <w:t>50 m</w:t>
            </w:r>
            <w:r>
              <w:rPr>
                <w:rFonts w:ascii="宋体" w:hAnsi="宋体" w:cs="宋体" w:eastAsiaTheme="minorEastAsia"/>
                <w:spacing w:val="-90"/>
                <w:sz w:val="18"/>
                <w:szCs w:val="18"/>
              </w:rPr>
              <w:t>，</w:t>
            </w:r>
            <w:r>
              <w:rPr>
                <w:rFonts w:ascii="宋体" w:hAnsi="宋体" w:cs="宋体" w:eastAsiaTheme="minorEastAsia"/>
                <w:sz w:val="18"/>
                <w:szCs w:val="18"/>
              </w:rPr>
              <w:t>纵向每 3～5 m 测一个断面</w:t>
            </w:r>
            <w:r>
              <w:rPr>
                <w:rFonts w:ascii="宋体" w:hAnsi="宋体" w:cs="宋体" w:eastAsiaTheme="minorEastAsia"/>
                <w:spacing w:val="-90"/>
                <w:sz w:val="18"/>
                <w:szCs w:val="18"/>
              </w:rPr>
              <w:t>，</w:t>
            </w:r>
            <w:r>
              <w:rPr>
                <w:rFonts w:ascii="宋体" w:hAnsi="宋体" w:cs="宋体" w:eastAsiaTheme="minorEastAsia"/>
                <w:sz w:val="18"/>
                <w:szCs w:val="18"/>
              </w:rPr>
              <w:t>横向每断面测量 3</w:t>
            </w:r>
            <w:r>
              <w:rPr>
                <w:rFonts w:ascii="宋体" w:hAnsi="宋体" w:cs="宋体" w:eastAsiaTheme="minorEastAsia"/>
                <w:spacing w:val="-18"/>
                <w:sz w:val="18"/>
                <w:szCs w:val="18"/>
              </w:rPr>
              <w:t>～</w:t>
            </w:r>
            <w:r>
              <w:rPr>
                <w:rFonts w:ascii="宋体" w:hAnsi="宋体" w:cs="宋体" w:eastAsiaTheme="minorEastAsia"/>
                <w:sz w:val="18"/>
                <w:szCs w:val="18"/>
              </w:rPr>
              <w:t>4个点</w:t>
            </w:r>
            <w:r>
              <w:rPr>
                <w:rFonts w:ascii="宋体" w:hAnsi="宋体" w:cs="宋体" w:eastAsiaTheme="minorEastAsia"/>
                <w:spacing w:val="-13"/>
                <w:sz w:val="18"/>
                <w:szCs w:val="18"/>
              </w:rPr>
              <w:t>，</w:t>
            </w:r>
            <w:r>
              <w:rPr>
                <w:rFonts w:ascii="宋体" w:hAnsi="宋体" w:cs="宋体" w:eastAsiaTheme="minorEastAsia"/>
                <w:spacing w:val="-90"/>
                <w:sz w:val="18"/>
                <w:szCs w:val="18"/>
              </w:rPr>
              <w:t xml:space="preserve"> </w:t>
            </w:r>
            <w:r>
              <w:rPr>
                <w:rFonts w:ascii="宋体" w:hAnsi="宋体" w:cs="宋体" w:eastAsiaTheme="minorEastAsia"/>
                <w:sz w:val="18"/>
                <w:szCs w:val="18"/>
              </w:rPr>
              <w:t>分别对应左侧路缘带</w:t>
            </w:r>
            <w:r>
              <w:rPr>
                <w:rFonts w:ascii="宋体" w:hAnsi="宋体" w:cs="宋体" w:eastAsiaTheme="minorEastAsia"/>
                <w:spacing w:val="-12"/>
                <w:sz w:val="18"/>
                <w:szCs w:val="18"/>
              </w:rPr>
              <w:t>、</w:t>
            </w:r>
            <w:r>
              <w:rPr>
                <w:rFonts w:ascii="宋体" w:hAnsi="宋体" w:cs="宋体" w:eastAsiaTheme="minorEastAsia"/>
                <w:sz w:val="18"/>
                <w:szCs w:val="18"/>
              </w:rPr>
              <w:t>行车轮迹带及硬路肩位置</w:t>
            </w:r>
            <w:r>
              <w:rPr>
                <w:rFonts w:ascii="宋体" w:hAnsi="宋体" w:cs="宋体" w:eastAsiaTheme="minorEastAsia"/>
                <w:spacing w:val="-12"/>
                <w:sz w:val="18"/>
                <w:szCs w:val="18"/>
              </w:rPr>
              <w:t>。</w:t>
            </w:r>
            <w:r>
              <w:rPr>
                <w:rFonts w:ascii="宋体" w:hAnsi="宋体" w:cs="宋体" w:eastAsiaTheme="minorEastAsia"/>
                <w:sz w:val="18"/>
                <w:szCs w:val="18"/>
              </w:rPr>
              <w:t>绘制路线纵</w:t>
            </w:r>
            <w:r>
              <w:rPr>
                <w:rFonts w:ascii="宋体" w:hAnsi="宋体" w:cs="宋体" w:eastAsiaTheme="minorEastAsia"/>
                <w:spacing w:val="-12"/>
                <w:sz w:val="18"/>
                <w:szCs w:val="18"/>
              </w:rPr>
              <w:t>、</w:t>
            </w:r>
            <w:r>
              <w:rPr>
                <w:rFonts w:ascii="宋体" w:hAnsi="宋体" w:cs="宋体" w:eastAsiaTheme="minorEastAsia"/>
                <w:sz w:val="18"/>
                <w:szCs w:val="18"/>
              </w:rPr>
              <w:t>横向高程图</w:t>
            </w:r>
            <w:r>
              <w:rPr>
                <w:rFonts w:ascii="宋体" w:hAnsi="宋体" w:cs="宋体" w:eastAsiaTheme="minorEastAsia"/>
                <w:spacing w:val="-12"/>
                <w:sz w:val="18"/>
                <w:szCs w:val="18"/>
              </w:rPr>
              <w:t>，</w:t>
            </w:r>
            <w:r>
              <w:rPr>
                <w:rFonts w:ascii="宋体" w:hAnsi="宋体" w:cs="宋体" w:eastAsiaTheme="minorEastAsia"/>
                <w:sz w:val="18"/>
                <w:szCs w:val="18"/>
              </w:rPr>
              <w:t>计算最大相对沉降值</w:t>
            </w:r>
            <w:r>
              <w:rPr>
                <w:rFonts w:ascii="宋体" w:hAnsi="宋体" w:cs="宋体" w:eastAsiaTheme="minorEastAsia"/>
                <w:spacing w:val="-12"/>
                <w:sz w:val="18"/>
                <w:szCs w:val="18"/>
              </w:rPr>
              <w:t>；</w:t>
            </w:r>
          </w:p>
          <w:p w14:paraId="551F9553">
            <w:pPr>
              <w:spacing w:before="95" w:line="220" w:lineRule="auto"/>
              <w:ind w:firstLine="488"/>
              <w:rPr>
                <w:rFonts w:ascii="宋体" w:hAnsi="宋体" w:cs="宋体" w:eastAsiaTheme="minorEastAsia"/>
                <w:sz w:val="18"/>
                <w:szCs w:val="18"/>
              </w:rPr>
            </w:pPr>
            <w:r>
              <w:rPr>
                <w:rFonts w:ascii="黑体" w:hAnsi="黑体" w:eastAsia="黑体" w:cs="黑体"/>
                <w:sz w:val="18"/>
                <w:szCs w:val="18"/>
              </w:rPr>
              <w:t>注5</w:t>
            </w:r>
            <w:r>
              <w:rPr>
                <w:rFonts w:ascii="黑体" w:hAnsi="黑体" w:eastAsia="黑体" w:cs="黑体"/>
                <w:spacing w:val="-26"/>
                <w:sz w:val="18"/>
                <w:szCs w:val="18"/>
              </w:rPr>
              <w:t>：</w:t>
            </w:r>
            <w:r>
              <w:rPr>
                <w:rFonts w:ascii="黑体" w:hAnsi="黑体" w:eastAsia="黑体" w:cs="黑体"/>
                <w:spacing w:val="-90"/>
                <w:sz w:val="18"/>
                <w:szCs w:val="18"/>
              </w:rPr>
              <w:t xml:space="preserve"> </w:t>
            </w:r>
            <w:r>
              <w:rPr>
                <w:rFonts w:ascii="宋体" w:hAnsi="宋体" w:cs="宋体" w:eastAsiaTheme="minorEastAsia"/>
                <w:sz w:val="18"/>
                <w:szCs w:val="18"/>
              </w:rPr>
              <w:t>弯沉的检测方法见</w:t>
            </w:r>
            <w:r>
              <w:rPr>
                <w:rFonts w:ascii="宋体" w:hAnsi="宋体" w:cs="宋体" w:eastAsiaTheme="minorEastAsia"/>
                <w:spacing w:val="-1"/>
                <w:sz w:val="18"/>
                <w:szCs w:val="18"/>
              </w:rPr>
              <w:t xml:space="preserve"> </w:t>
            </w:r>
            <w:r>
              <w:rPr>
                <w:rFonts w:ascii="宋体" w:hAnsi="宋体" w:cs="宋体" w:eastAsiaTheme="minorEastAsia"/>
                <w:sz w:val="18"/>
                <w:szCs w:val="18"/>
              </w:rPr>
              <w:t>DB34/T</w:t>
            </w:r>
            <w:r>
              <w:rPr>
                <w:rFonts w:ascii="宋体" w:hAnsi="宋体" w:cs="宋体" w:eastAsiaTheme="minorEastAsia"/>
                <w:spacing w:val="-1"/>
                <w:sz w:val="18"/>
                <w:szCs w:val="18"/>
              </w:rPr>
              <w:t xml:space="preserve"> </w:t>
            </w:r>
            <w:r>
              <w:rPr>
                <w:rFonts w:ascii="宋体" w:hAnsi="宋体" w:cs="宋体" w:eastAsiaTheme="minorEastAsia"/>
                <w:sz w:val="18"/>
                <w:szCs w:val="18"/>
              </w:rPr>
              <w:t>2748.1</w:t>
            </w:r>
            <w:r>
              <w:rPr>
                <w:rFonts w:ascii="宋体" w:hAnsi="宋体" w:cs="宋体" w:eastAsiaTheme="minorEastAsia"/>
                <w:spacing w:val="-26"/>
                <w:sz w:val="18"/>
                <w:szCs w:val="18"/>
              </w:rPr>
              <w:t>，</w:t>
            </w:r>
            <w:r>
              <w:rPr>
                <w:rFonts w:ascii="宋体" w:hAnsi="宋体" w:cs="宋体" w:eastAsiaTheme="minorEastAsia"/>
                <w:spacing w:val="-90"/>
                <w:sz w:val="18"/>
                <w:szCs w:val="18"/>
              </w:rPr>
              <w:t xml:space="preserve"> </w:t>
            </w:r>
            <w:r>
              <w:rPr>
                <w:rFonts w:ascii="宋体" w:hAnsi="宋体" w:cs="宋体" w:eastAsiaTheme="minorEastAsia"/>
                <w:sz w:val="18"/>
                <w:szCs w:val="18"/>
              </w:rPr>
              <w:t>即采用弯沉盆参数评价各结构层强度状况</w:t>
            </w:r>
            <w:r>
              <w:rPr>
                <w:rFonts w:ascii="宋体" w:hAnsi="宋体" w:cs="宋体" w:eastAsiaTheme="minorEastAsia"/>
                <w:spacing w:val="-26"/>
                <w:sz w:val="18"/>
                <w:szCs w:val="18"/>
              </w:rPr>
              <w:t>；</w:t>
            </w:r>
          </w:p>
          <w:p w14:paraId="12920CF7">
            <w:pPr>
              <w:spacing w:before="98" w:line="220" w:lineRule="auto"/>
              <w:ind w:firstLine="488"/>
              <w:rPr>
                <w:rFonts w:ascii="宋体" w:hAnsi="宋体" w:cs="宋体" w:eastAsiaTheme="minorEastAsia"/>
                <w:sz w:val="18"/>
                <w:szCs w:val="18"/>
              </w:rPr>
            </w:pPr>
            <w:r>
              <w:rPr>
                <w:rFonts w:ascii="黑体" w:hAnsi="黑体" w:eastAsia="黑体" w:cs="黑体"/>
                <w:sz w:val="18"/>
                <w:szCs w:val="18"/>
              </w:rPr>
              <w:t>注6</w:t>
            </w:r>
            <w:r>
              <w:rPr>
                <w:rFonts w:ascii="黑体" w:hAnsi="黑体" w:eastAsia="黑体" w:cs="黑体"/>
                <w:spacing w:val="-49"/>
                <w:sz w:val="18"/>
                <w:szCs w:val="18"/>
              </w:rPr>
              <w:t>：</w:t>
            </w:r>
            <w:r>
              <w:rPr>
                <w:rFonts w:ascii="黑体" w:hAnsi="黑体" w:eastAsia="黑体" w:cs="黑体"/>
                <w:spacing w:val="-90"/>
                <w:sz w:val="18"/>
                <w:szCs w:val="18"/>
              </w:rPr>
              <w:t xml:space="preserve"> </w:t>
            </w:r>
            <w:r>
              <w:rPr>
                <w:rFonts w:ascii="宋体" w:hAnsi="宋体" w:cs="宋体" w:eastAsiaTheme="minorEastAsia"/>
                <w:sz w:val="18"/>
                <w:szCs w:val="18"/>
              </w:rPr>
              <w:t>计算指标的评定单元应不局限于</w:t>
            </w:r>
            <w:r>
              <w:rPr>
                <w:rFonts w:ascii="宋体" w:hAnsi="宋体" w:cs="宋体" w:eastAsiaTheme="minorEastAsia"/>
                <w:spacing w:val="-1"/>
                <w:sz w:val="18"/>
                <w:szCs w:val="18"/>
              </w:rPr>
              <w:t xml:space="preserve"> </w:t>
            </w:r>
            <w:r>
              <w:rPr>
                <w:rFonts w:ascii="宋体" w:hAnsi="宋体" w:cs="宋体" w:eastAsiaTheme="minorEastAsia"/>
                <w:sz w:val="18"/>
                <w:szCs w:val="18"/>
              </w:rPr>
              <w:t>1 km</w:t>
            </w:r>
            <w:r>
              <w:rPr>
                <w:rFonts w:ascii="宋体" w:hAnsi="宋体" w:cs="宋体" w:eastAsiaTheme="minorEastAsia"/>
                <w:spacing w:val="-49"/>
                <w:sz w:val="18"/>
                <w:szCs w:val="18"/>
              </w:rPr>
              <w:t>，</w:t>
            </w:r>
            <w:r>
              <w:rPr>
                <w:rFonts w:ascii="宋体" w:hAnsi="宋体" w:cs="宋体" w:eastAsiaTheme="minorEastAsia"/>
                <w:spacing w:val="-90"/>
                <w:sz w:val="18"/>
                <w:szCs w:val="18"/>
              </w:rPr>
              <w:t xml:space="preserve"> </w:t>
            </w:r>
            <w:r>
              <w:rPr>
                <w:rFonts w:ascii="宋体" w:hAnsi="宋体" w:cs="宋体" w:eastAsiaTheme="minorEastAsia"/>
                <w:sz w:val="18"/>
                <w:szCs w:val="18"/>
              </w:rPr>
              <w:t>宜按照不小于 50 m 的长度结合病害路段长度重新计算评定</w:t>
            </w:r>
            <w:r>
              <w:rPr>
                <w:rFonts w:ascii="宋体" w:hAnsi="宋体" w:cs="宋体" w:eastAsiaTheme="minorEastAsia"/>
                <w:spacing w:val="-49"/>
                <w:sz w:val="18"/>
                <w:szCs w:val="18"/>
              </w:rPr>
              <w:t>；</w:t>
            </w:r>
          </w:p>
          <w:p w14:paraId="17F7C8C5">
            <w:pPr>
              <w:spacing w:before="98" w:line="220" w:lineRule="auto"/>
              <w:ind w:firstLine="488"/>
              <w:rPr>
                <w:rFonts w:ascii="宋体" w:hAnsi="宋体" w:cs="宋体" w:eastAsiaTheme="minorEastAsia"/>
                <w:sz w:val="18"/>
                <w:szCs w:val="18"/>
              </w:rPr>
            </w:pPr>
            <w:r>
              <w:rPr>
                <w:rFonts w:ascii="黑体" w:hAnsi="黑体" w:eastAsia="黑体" w:cs="黑体"/>
                <w:sz w:val="18"/>
                <w:szCs w:val="18"/>
              </w:rPr>
              <w:t>注7</w:t>
            </w:r>
            <w:r>
              <w:rPr>
                <w:rFonts w:ascii="黑体" w:hAnsi="黑体" w:eastAsia="黑体" w:cs="黑体"/>
                <w:spacing w:val="-1"/>
                <w:sz w:val="18"/>
                <w:szCs w:val="18"/>
              </w:rPr>
              <w:t>：</w:t>
            </w:r>
            <w:r>
              <w:rPr>
                <w:rFonts w:ascii="黑体" w:hAnsi="黑体" w:eastAsia="黑体" w:cs="黑体"/>
                <w:spacing w:val="-23"/>
                <w:sz w:val="18"/>
                <w:szCs w:val="18"/>
              </w:rPr>
              <w:t xml:space="preserve"> </w:t>
            </w:r>
            <w:r>
              <w:rPr>
                <w:rFonts w:ascii="宋体" w:hAnsi="宋体" w:cs="宋体" w:eastAsiaTheme="minorEastAsia"/>
                <w:sz w:val="18"/>
                <w:szCs w:val="18"/>
              </w:rPr>
              <w:t>室内试验包括沥青混合料试验（包括油石比、矿料级配以及抽提后沥青的三大指标）、基层试验（包括抗压</w:t>
            </w:r>
          </w:p>
          <w:p w14:paraId="43CBC96D">
            <w:pPr>
              <w:spacing w:before="97" w:line="221" w:lineRule="auto"/>
              <w:ind w:firstLine="932"/>
              <w:rPr>
                <w:rFonts w:hint="eastAsia" w:ascii="宋体" w:hAnsi="宋体" w:cs="宋体" w:eastAsiaTheme="minorEastAsia"/>
                <w:sz w:val="18"/>
                <w:szCs w:val="18"/>
                <w:lang w:eastAsia="zh-CN"/>
              </w:rPr>
            </w:pPr>
            <w:r>
              <w:rPr>
                <w:rFonts w:ascii="宋体" w:hAnsi="宋体" w:cs="宋体" w:eastAsiaTheme="minorEastAsia"/>
                <w:sz w:val="18"/>
                <w:szCs w:val="18"/>
              </w:rPr>
              <w:t>强度等</w:t>
            </w:r>
            <w:r>
              <w:rPr>
                <w:rFonts w:ascii="宋体" w:hAnsi="宋体" w:cs="宋体" w:eastAsiaTheme="minorEastAsia"/>
                <w:spacing w:val="-7"/>
                <w:sz w:val="18"/>
                <w:szCs w:val="18"/>
              </w:rPr>
              <w:t>）</w:t>
            </w:r>
            <w:r>
              <w:rPr>
                <w:rFonts w:ascii="宋体" w:hAnsi="宋体" w:cs="宋体" w:eastAsiaTheme="minorEastAsia"/>
                <w:spacing w:val="-90"/>
                <w:sz w:val="18"/>
                <w:szCs w:val="18"/>
              </w:rPr>
              <w:t xml:space="preserve"> </w:t>
            </w:r>
            <w:r>
              <w:rPr>
                <w:rFonts w:ascii="宋体" w:hAnsi="宋体" w:cs="宋体" w:eastAsiaTheme="minorEastAsia"/>
                <w:sz w:val="18"/>
                <w:szCs w:val="18"/>
              </w:rPr>
              <w:t>及路基土试验（包括含水量</w:t>
            </w:r>
            <w:r>
              <w:rPr>
                <w:rFonts w:ascii="宋体" w:hAnsi="宋体" w:cs="宋体" w:eastAsiaTheme="minorEastAsia"/>
                <w:spacing w:val="-6"/>
                <w:sz w:val="18"/>
                <w:szCs w:val="18"/>
              </w:rPr>
              <w:t>、</w:t>
            </w:r>
            <w:r>
              <w:rPr>
                <w:rFonts w:ascii="宋体" w:hAnsi="宋体" w:cs="宋体" w:eastAsiaTheme="minorEastAsia"/>
                <w:sz w:val="18"/>
                <w:szCs w:val="18"/>
              </w:rPr>
              <w:t>液塑限</w:t>
            </w:r>
            <w:r>
              <w:rPr>
                <w:rFonts w:ascii="宋体" w:hAnsi="宋体" w:cs="宋体" w:eastAsiaTheme="minorEastAsia"/>
                <w:spacing w:val="-6"/>
                <w:sz w:val="18"/>
                <w:szCs w:val="18"/>
              </w:rPr>
              <w:t>、</w:t>
            </w:r>
            <w:r>
              <w:rPr>
                <w:rFonts w:ascii="宋体" w:hAnsi="宋体" w:cs="宋体" w:eastAsiaTheme="minorEastAsia"/>
                <w:sz w:val="18"/>
                <w:szCs w:val="18"/>
              </w:rPr>
              <w:t>自由膨胀率等</w:t>
            </w:r>
            <w:r>
              <w:rPr>
                <w:rFonts w:ascii="宋体" w:hAnsi="宋体" w:cs="宋体" w:eastAsiaTheme="minorEastAsia"/>
                <w:spacing w:val="-6"/>
                <w:sz w:val="18"/>
                <w:szCs w:val="18"/>
              </w:rPr>
              <w:t>）</w:t>
            </w:r>
            <w:r>
              <w:rPr>
                <w:rFonts w:hint="eastAsia" w:ascii="宋体" w:hAnsi="宋体" w:cs="宋体" w:eastAsiaTheme="minorEastAsia"/>
                <w:spacing w:val="-6"/>
                <w:sz w:val="18"/>
                <w:szCs w:val="18"/>
                <w:lang w:eastAsia="zh-CN"/>
              </w:rPr>
              <w:t>。</w:t>
            </w:r>
          </w:p>
        </w:tc>
      </w:tr>
    </w:tbl>
    <w:p w14:paraId="6F762DB0">
      <w:pPr>
        <w:pStyle w:val="56"/>
        <w:ind w:firstLine="420"/>
      </w:pPr>
    </w:p>
    <w:p w14:paraId="2C463489">
      <w:pPr>
        <w:pStyle w:val="104"/>
        <w:numPr>
          <w:ilvl w:val="0"/>
          <w:numId w:val="32"/>
        </w:numPr>
        <w:spacing w:before="312" w:after="312" w:line="360" w:lineRule="auto"/>
        <w:rPr>
          <w:rFonts w:hAnsi="黑体" w:cs="黑体"/>
          <w:color w:val="auto"/>
          <w:szCs w:val="21"/>
        </w:rPr>
      </w:pPr>
      <w:bookmarkStart w:id="76" w:name="_Toc180078189"/>
      <w:r>
        <w:rPr>
          <w:rFonts w:hAnsi="黑体" w:cs="黑体"/>
          <w:color w:val="auto"/>
          <w:spacing w:val="-1"/>
          <w:szCs w:val="21"/>
        </w:rPr>
        <w:t>养</w:t>
      </w:r>
      <w:r>
        <w:rPr>
          <w:rFonts w:hAnsi="黑体" w:cs="黑体"/>
          <w:color w:val="auto"/>
          <w:szCs w:val="21"/>
        </w:rPr>
        <w:t>护设计</w:t>
      </w:r>
      <w:bookmarkEnd w:id="76"/>
      <w:bookmarkStart w:id="89" w:name="_GoBack"/>
      <w:bookmarkEnd w:id="89"/>
    </w:p>
    <w:p w14:paraId="5E900175">
      <w:pPr>
        <w:pStyle w:val="105"/>
        <w:numPr>
          <w:ilvl w:val="1"/>
          <w:numId w:val="32"/>
        </w:numPr>
        <w:spacing w:before="156" w:after="156" w:line="360" w:lineRule="auto"/>
        <w:rPr>
          <w:rFonts w:hAnsi="黑体" w:cs="黑体"/>
          <w:color w:val="auto"/>
          <w:szCs w:val="21"/>
        </w:rPr>
      </w:pPr>
      <w:r>
        <w:rPr>
          <w:rFonts w:hint="eastAsia" w:hAnsi="黑体" w:cs="黑体"/>
          <w:color w:val="auto"/>
          <w:szCs w:val="21"/>
          <w:lang w:val="en-US" w:eastAsia="zh-CN"/>
        </w:rPr>
        <w:t>一般要求</w:t>
      </w:r>
    </w:p>
    <w:p w14:paraId="73CB034B">
      <w:pPr>
        <w:pStyle w:val="56"/>
        <w:numPr>
          <w:ilvl w:val="2"/>
          <w:numId w:val="32"/>
        </w:numPr>
        <w:spacing w:line="360" w:lineRule="auto"/>
        <w:ind w:left="720" w:leftChars="0" w:hanging="720" w:firstLineChars="0"/>
        <w:rPr>
          <w:rFonts w:hint="eastAsia" w:hAnsi="宋体" w:cs="宋体"/>
          <w:spacing w:val="-3"/>
          <w:szCs w:val="21"/>
          <w:lang w:val="en-US" w:eastAsia="zh-CN"/>
        </w:rPr>
      </w:pPr>
      <w:r>
        <w:rPr>
          <w:rFonts w:hint="eastAsia" w:hAnsi="宋体" w:cs="宋体"/>
          <w:spacing w:val="-3"/>
          <w:szCs w:val="21"/>
          <w:lang w:val="en-US" w:eastAsia="zh-CN"/>
        </w:rPr>
        <w:t>设计目标</w:t>
      </w:r>
    </w:p>
    <w:p w14:paraId="5A87E4B5">
      <w:pPr>
        <w:pStyle w:val="56"/>
        <w:spacing w:before="156" w:beforeLines="50" w:line="360" w:lineRule="auto"/>
        <w:ind w:firstLine="420"/>
        <w:rPr>
          <w:rFonts w:hint="default" w:eastAsia="宋体"/>
          <w:color w:val="auto"/>
          <w:lang w:val="en-US" w:eastAsia="zh-CN"/>
        </w:rPr>
      </w:pPr>
      <w:r>
        <w:rPr>
          <w:rFonts w:hint="eastAsia"/>
          <w:color w:val="auto"/>
          <w:lang w:val="en-US" w:eastAsia="zh-CN"/>
        </w:rPr>
        <w:t>设计前，明确养护目标应考虑以下几个因素：</w:t>
      </w:r>
    </w:p>
    <w:p w14:paraId="1FAA7D98">
      <w:pPr>
        <w:pStyle w:val="56"/>
        <w:spacing w:before="156" w:beforeLines="50" w:line="360" w:lineRule="auto"/>
        <w:ind w:firstLine="420"/>
        <w:rPr>
          <w:color w:val="auto"/>
        </w:rPr>
      </w:pPr>
      <w:r>
        <w:rPr>
          <w:rFonts w:hint="eastAsia"/>
          <w:color w:val="auto"/>
        </w:rPr>
        <w:t>a）通过科学合理的养护措施，延长公路、桥梁等交通基础设施的使用寿命。</w:t>
      </w:r>
    </w:p>
    <w:p w14:paraId="0AFBCED4">
      <w:pPr>
        <w:pStyle w:val="56"/>
        <w:spacing w:before="156" w:beforeLines="50" w:line="360" w:lineRule="auto"/>
        <w:ind w:firstLine="420"/>
        <w:rPr>
          <w:rFonts w:hint="eastAsia" w:hAnsi="宋体" w:cs="宋体"/>
          <w:color w:val="auto"/>
          <w:spacing w:val="-3"/>
          <w:szCs w:val="21"/>
          <w:lang w:val="en-US" w:eastAsia="zh-CN"/>
        </w:rPr>
      </w:pPr>
      <w:r>
        <w:rPr>
          <w:color w:val="auto"/>
        </w:rPr>
        <w:t>b</w:t>
      </w:r>
      <w:r>
        <w:rPr>
          <w:rFonts w:hint="eastAsia"/>
          <w:color w:val="auto"/>
        </w:rPr>
        <w:t>）及时发现并处理可能出现的病害和问题，防止其进一步恶化。</w:t>
      </w:r>
    </w:p>
    <w:p w14:paraId="31B0CA30">
      <w:pPr>
        <w:pStyle w:val="56"/>
        <w:numPr>
          <w:ilvl w:val="2"/>
          <w:numId w:val="32"/>
        </w:numPr>
        <w:spacing w:line="360" w:lineRule="auto"/>
        <w:ind w:left="720" w:leftChars="0" w:hanging="720" w:firstLineChars="0"/>
        <w:rPr>
          <w:rFonts w:hint="default" w:hAnsi="宋体" w:cs="宋体"/>
          <w:spacing w:val="-3"/>
          <w:szCs w:val="21"/>
          <w:lang w:val="en-US" w:eastAsia="zh-CN"/>
        </w:rPr>
      </w:pPr>
      <w:r>
        <w:rPr>
          <w:rFonts w:hint="eastAsia" w:hAnsi="宋体" w:cs="宋体"/>
          <w:spacing w:val="-3"/>
          <w:szCs w:val="21"/>
          <w:lang w:val="en-US" w:eastAsia="zh-CN"/>
        </w:rPr>
        <w:t>设计单元</w:t>
      </w:r>
    </w:p>
    <w:p w14:paraId="68560069">
      <w:pPr>
        <w:pStyle w:val="56"/>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leftChars="0" w:firstLine="408" w:firstLineChars="200"/>
        <w:textAlignment w:val="auto"/>
        <w:rPr>
          <w:rFonts w:hint="default" w:hAnsi="宋体" w:cs="宋体"/>
          <w:spacing w:val="-3"/>
          <w:szCs w:val="21"/>
          <w:lang w:val="en-US" w:eastAsia="zh-CN"/>
        </w:rPr>
      </w:pPr>
      <w:r>
        <w:rPr>
          <w:rFonts w:hint="eastAsia" w:hAnsi="宋体" w:cs="宋体"/>
          <w:spacing w:val="-3"/>
          <w:szCs w:val="21"/>
          <w:lang w:val="en-US" w:eastAsia="zh-CN"/>
        </w:rPr>
        <w:t>养护方案制定最小单元宜为100m。</w:t>
      </w:r>
    </w:p>
    <w:p w14:paraId="4D6E01D9">
      <w:pPr>
        <w:pStyle w:val="56"/>
        <w:numPr>
          <w:ilvl w:val="2"/>
          <w:numId w:val="32"/>
        </w:numPr>
        <w:spacing w:line="360" w:lineRule="auto"/>
        <w:ind w:left="720" w:leftChars="0" w:hanging="720" w:firstLineChars="0"/>
        <w:rPr>
          <w:rFonts w:hint="default" w:hAnsi="宋体" w:cs="宋体"/>
          <w:spacing w:val="-3"/>
          <w:szCs w:val="21"/>
          <w:lang w:val="en-US" w:eastAsia="zh-CN"/>
        </w:rPr>
      </w:pPr>
      <w:r>
        <w:rPr>
          <w:rFonts w:hint="eastAsia" w:hAnsi="宋体" w:cs="宋体"/>
          <w:spacing w:val="-3"/>
          <w:szCs w:val="21"/>
          <w:lang w:val="en-US" w:eastAsia="zh-CN"/>
        </w:rPr>
        <w:t>资金约束</w:t>
      </w:r>
    </w:p>
    <w:p w14:paraId="3EA97F28">
      <w:pPr>
        <w:pStyle w:val="56"/>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leftChars="0" w:firstLine="408" w:firstLineChars="200"/>
        <w:jc w:val="left"/>
        <w:textAlignment w:val="auto"/>
        <w:rPr>
          <w:rFonts w:hint="eastAsia" w:hAnsi="宋体" w:cs="宋体"/>
          <w:spacing w:val="-3"/>
          <w:szCs w:val="21"/>
          <w:lang w:val="en-US" w:eastAsia="zh-CN"/>
        </w:rPr>
      </w:pPr>
      <w:r>
        <w:rPr>
          <w:rFonts w:hint="eastAsia" w:hAnsi="宋体" w:cs="宋体"/>
          <w:spacing w:val="-3"/>
          <w:szCs w:val="21"/>
          <w:lang w:val="en-US" w:eastAsia="zh-CN"/>
        </w:rPr>
        <w:t>综合考虑养护资金配备情况、路面病害“轻、重、缓、急”进行养护方案制定。</w:t>
      </w:r>
    </w:p>
    <w:p w14:paraId="7AEE8CFB">
      <w:pPr>
        <w:pStyle w:val="56"/>
        <w:spacing w:before="50" w:line="360" w:lineRule="auto"/>
        <w:ind w:firstLine="420"/>
        <w:rPr>
          <w:rFonts w:hint="eastAsia"/>
          <w:color w:val="auto"/>
        </w:rPr>
      </w:pPr>
      <w:r>
        <w:rPr>
          <w:rFonts w:hint="eastAsia"/>
          <w:color w:val="auto"/>
        </w:rPr>
        <w:t>a）从全寿命周期的角度出发，综合考虑建设、运营和养护维修的成本，通过优化养护设计方案，降低整体费用。在方案比选过程中，应从全寿命周期角度进行分析，优选投资效益最大化的养护方案，这有助于在有限的资金下，实现最佳的养护效果。</w:t>
      </w:r>
    </w:p>
    <w:p w14:paraId="6EB02EE4">
      <w:pPr>
        <w:pStyle w:val="56"/>
        <w:spacing w:before="50" w:line="360" w:lineRule="auto"/>
        <w:ind w:firstLine="420"/>
        <w:rPr>
          <w:color w:val="auto"/>
        </w:rPr>
      </w:pPr>
      <w:r>
        <w:rPr>
          <w:color w:val="auto"/>
        </w:rPr>
        <w:t>b</w:t>
      </w:r>
      <w:r>
        <w:rPr>
          <w:rFonts w:hint="eastAsia"/>
          <w:color w:val="auto"/>
        </w:rPr>
        <w:t>）合理的养护设计可以减少设施的频繁维修次数和费用。通过对设施进行定期的检查和维护，及时发现并解决问题，可以避免因设施损坏严重而导致的大规模维修或更换，从而节省大量的维修费用。</w:t>
      </w:r>
    </w:p>
    <w:p w14:paraId="20439400">
      <w:pPr>
        <w:pStyle w:val="56"/>
        <w:numPr>
          <w:ilvl w:val="2"/>
          <w:numId w:val="32"/>
        </w:numPr>
        <w:spacing w:line="360" w:lineRule="auto"/>
        <w:ind w:left="720" w:leftChars="0" w:hanging="720" w:firstLineChars="0"/>
        <w:rPr>
          <w:rFonts w:hint="default" w:hAnsi="宋体" w:cs="宋体"/>
          <w:spacing w:val="-3"/>
          <w:szCs w:val="21"/>
          <w:lang w:val="en-US" w:eastAsia="zh-CN"/>
        </w:rPr>
      </w:pPr>
      <w:r>
        <w:rPr>
          <w:rFonts w:hint="eastAsia" w:hAnsi="宋体" w:cs="宋体"/>
          <w:spacing w:val="-3"/>
          <w:szCs w:val="21"/>
          <w:lang w:val="en-US" w:eastAsia="zh-CN"/>
        </w:rPr>
        <w:t>设计阶段</w:t>
      </w:r>
    </w:p>
    <w:p w14:paraId="306E51B4">
      <w:pPr>
        <w:pStyle w:val="56"/>
        <w:spacing w:line="360" w:lineRule="auto"/>
        <w:ind w:firstLine="420"/>
        <w:rPr>
          <w:rFonts w:hint="default" w:hAnsi="宋体" w:cs="宋体"/>
          <w:spacing w:val="-3"/>
          <w:szCs w:val="21"/>
          <w:lang w:val="en-US" w:eastAsia="zh-CN"/>
        </w:rPr>
      </w:pPr>
      <w:r>
        <w:rPr>
          <w:rFonts w:hAnsi="宋体" w:cs="宋体"/>
          <w:szCs w:val="21"/>
        </w:rPr>
        <w:t>养护设计宜按方案设计和施工图设计两阶段进行</w:t>
      </w:r>
      <w:r>
        <w:rPr>
          <w:rFonts w:hAnsi="宋体" w:cs="宋体"/>
          <w:spacing w:val="-50"/>
          <w:szCs w:val="21"/>
        </w:rPr>
        <w:t>，</w:t>
      </w:r>
      <w:r>
        <w:rPr>
          <w:rFonts w:hAnsi="宋体" w:cs="宋体"/>
          <w:szCs w:val="21"/>
        </w:rPr>
        <w:t>也可根据实际情况进行一阶段设计</w:t>
      </w:r>
      <w:r>
        <w:rPr>
          <w:rFonts w:hAnsi="宋体" w:cs="宋体"/>
          <w:spacing w:val="-50"/>
          <w:szCs w:val="21"/>
        </w:rPr>
        <w:t>。</w:t>
      </w:r>
      <w:r>
        <w:rPr>
          <w:rFonts w:hAnsi="宋体" w:cs="宋体"/>
          <w:szCs w:val="21"/>
        </w:rPr>
        <w:t>必要时应进行动态设计</w:t>
      </w:r>
      <w:r>
        <w:rPr>
          <w:rFonts w:hAnsi="宋体" w:cs="宋体"/>
          <w:spacing w:val="-3"/>
          <w:szCs w:val="21"/>
        </w:rPr>
        <w:t>。</w:t>
      </w:r>
    </w:p>
    <w:p w14:paraId="77E65086">
      <w:pPr>
        <w:pStyle w:val="105"/>
        <w:numPr>
          <w:ilvl w:val="1"/>
          <w:numId w:val="32"/>
        </w:numPr>
        <w:spacing w:before="156" w:after="156"/>
      </w:pPr>
      <w:bookmarkStart w:id="77" w:name="_Toc180078191"/>
      <w:r>
        <w:t>方案设计</w:t>
      </w:r>
      <w:bookmarkEnd w:id="77"/>
    </w:p>
    <w:p w14:paraId="0E6EE747">
      <w:pPr>
        <w:pStyle w:val="56"/>
        <w:numPr>
          <w:ilvl w:val="2"/>
          <w:numId w:val="32"/>
        </w:numPr>
        <w:ind w:firstLineChars="0"/>
        <w:rPr>
          <w:rFonts w:ascii="黑体" w:hAnsi="黑体" w:eastAsia="黑体" w:cs="黑体"/>
          <w:szCs w:val="21"/>
        </w:rPr>
      </w:pPr>
      <w:r>
        <w:rPr>
          <w:rFonts w:ascii="黑体" w:hAnsi="黑体" w:eastAsia="黑体" w:cs="黑体"/>
          <w:szCs w:val="21"/>
        </w:rPr>
        <w:t>病害诊断</w:t>
      </w:r>
    </w:p>
    <w:p w14:paraId="01410406">
      <w:pPr>
        <w:spacing w:before="217" w:line="312" w:lineRule="exact"/>
        <w:ind w:firstLine="545"/>
        <w:rPr>
          <w:rFonts w:ascii="宋体" w:hAnsi="宋体" w:cs="宋体"/>
        </w:rPr>
      </w:pPr>
      <w:r>
        <w:rPr>
          <w:rFonts w:ascii="宋体" w:hAnsi="宋体" w:cs="宋体"/>
          <w:position w:val="7"/>
        </w:rPr>
        <w:t>病害诊断应考虑如下因素</w:t>
      </w:r>
      <w:r>
        <w:rPr>
          <w:rFonts w:ascii="宋体" w:hAnsi="宋体" w:cs="宋体"/>
          <w:spacing w:val="-35"/>
          <w:position w:val="7"/>
        </w:rPr>
        <w:t>：</w:t>
      </w:r>
    </w:p>
    <w:p w14:paraId="6693DA13">
      <w:pPr>
        <w:spacing w:line="219" w:lineRule="auto"/>
        <w:ind w:firstLine="542"/>
        <w:rPr>
          <w:rFonts w:ascii="宋体" w:hAnsi="宋体" w:cs="宋体"/>
        </w:rPr>
      </w:pPr>
      <w:r>
        <w:rPr>
          <w:rFonts w:ascii="宋体" w:hAnsi="宋体" w:cs="宋体"/>
        </w:rPr>
        <w:t>——病害发展状况</w:t>
      </w:r>
      <w:r>
        <w:rPr>
          <w:rFonts w:ascii="宋体" w:hAnsi="宋体" w:cs="宋体"/>
          <w:spacing w:val="-13"/>
        </w:rPr>
        <w:t>。</w:t>
      </w:r>
    </w:p>
    <w:p w14:paraId="17164C9B">
      <w:pPr>
        <w:spacing w:before="62" w:line="312" w:lineRule="exact"/>
        <w:ind w:firstLine="975"/>
        <w:rPr>
          <w:rFonts w:ascii="宋体" w:hAnsi="宋体" w:cs="宋体"/>
        </w:rPr>
      </w:pPr>
      <w:r>
        <w:rPr>
          <w:rFonts w:ascii="宋体" w:hAnsi="宋体" w:cs="宋体"/>
          <w:position w:val="7"/>
        </w:rPr>
        <w:drawing>
          <wp:inline distT="0" distB="0" distL="0" distR="0">
            <wp:extent cx="50800" cy="67945"/>
            <wp:effectExtent l="0" t="0" r="6350" b="8255"/>
            <wp:docPr id="11" name="图片 1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0800" cy="67945"/>
                    </a:xfrm>
                    <a:prstGeom prst="rect">
                      <a:avLst/>
                    </a:prstGeom>
                    <a:noFill/>
                    <a:ln>
                      <a:noFill/>
                    </a:ln>
                  </pic:spPr>
                </pic:pic>
              </a:graphicData>
            </a:graphic>
          </wp:inline>
        </w:drawing>
      </w:r>
      <w:r>
        <w:rPr>
          <w:rFonts w:ascii="宋体" w:hAnsi="宋体" w:cs="宋体"/>
          <w:spacing w:val="-1"/>
          <w:position w:val="7"/>
        </w:rPr>
        <w:t xml:space="preserve"> </w:t>
      </w:r>
      <w:r>
        <w:rPr>
          <w:rFonts w:ascii="宋体" w:hAnsi="宋体" w:cs="宋体"/>
          <w:position w:val="7"/>
        </w:rPr>
        <w:t xml:space="preserve">  分析各病害类型的损坏程度</w:t>
      </w:r>
      <w:r>
        <w:rPr>
          <w:rFonts w:ascii="宋体" w:hAnsi="宋体" w:cs="宋体"/>
          <w:spacing w:val="-4"/>
          <w:position w:val="7"/>
        </w:rPr>
        <w:t>、</w:t>
      </w:r>
      <w:r>
        <w:rPr>
          <w:rFonts w:ascii="宋体" w:hAnsi="宋体" w:cs="宋体"/>
          <w:position w:val="7"/>
        </w:rPr>
        <w:t>发展层位及影响分布</w:t>
      </w:r>
      <w:r>
        <w:rPr>
          <w:rFonts w:ascii="宋体" w:hAnsi="宋体" w:cs="宋体"/>
          <w:spacing w:val="-4"/>
          <w:position w:val="7"/>
        </w:rPr>
        <w:t>；</w:t>
      </w:r>
    </w:p>
    <w:p w14:paraId="23FB9074">
      <w:pPr>
        <w:spacing w:before="1" w:line="219" w:lineRule="auto"/>
        <w:ind w:firstLine="542"/>
        <w:rPr>
          <w:rFonts w:ascii="宋体" w:hAnsi="宋体" w:cs="宋体"/>
        </w:rPr>
      </w:pPr>
      <w:r>
        <w:rPr>
          <w:rFonts w:ascii="宋体" w:hAnsi="宋体" w:cs="宋体"/>
        </w:rPr>
        <w:t>——路面内部结构状况</w:t>
      </w:r>
      <w:r>
        <w:rPr>
          <w:rFonts w:ascii="宋体" w:hAnsi="宋体" w:cs="宋体"/>
          <w:spacing w:val="-20"/>
        </w:rPr>
        <w:t>。</w:t>
      </w:r>
    </w:p>
    <w:p w14:paraId="0EAE30B5">
      <w:pPr>
        <w:spacing w:before="62" w:line="312" w:lineRule="exact"/>
        <w:ind w:firstLine="976"/>
        <w:rPr>
          <w:rFonts w:ascii="宋体" w:hAnsi="宋体" w:cs="宋体"/>
        </w:rPr>
      </w:pPr>
      <w:r>
        <w:rPr>
          <w:rFonts w:ascii="宋体" w:hAnsi="宋体" w:cs="宋体"/>
          <w:position w:val="7"/>
        </w:rPr>
        <w:drawing>
          <wp:inline distT="0" distB="0" distL="0" distR="0">
            <wp:extent cx="50800" cy="67945"/>
            <wp:effectExtent l="0" t="0" r="6350" b="8255"/>
            <wp:docPr id="10" name="图片 10"/>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0800" cy="67945"/>
                    </a:xfrm>
                    <a:prstGeom prst="rect">
                      <a:avLst/>
                    </a:prstGeom>
                    <a:noFill/>
                    <a:ln>
                      <a:noFill/>
                    </a:ln>
                  </pic:spPr>
                </pic:pic>
              </a:graphicData>
            </a:graphic>
          </wp:inline>
        </w:drawing>
      </w:r>
      <w:r>
        <w:rPr>
          <w:rFonts w:ascii="宋体" w:hAnsi="宋体" w:cs="宋体"/>
          <w:position w:val="7"/>
        </w:rPr>
        <w:t xml:space="preserve">   分析路面结构的完整性</w:t>
      </w:r>
      <w:r>
        <w:rPr>
          <w:rFonts w:ascii="宋体" w:hAnsi="宋体" w:cs="宋体"/>
          <w:spacing w:val="-11"/>
          <w:position w:val="7"/>
        </w:rPr>
        <w:t>、</w:t>
      </w:r>
      <w:r>
        <w:rPr>
          <w:rFonts w:ascii="宋体" w:hAnsi="宋体" w:cs="宋体"/>
          <w:position w:val="7"/>
        </w:rPr>
        <w:t>层间粘结状况及结构组合的合理性</w:t>
      </w:r>
      <w:r>
        <w:rPr>
          <w:rFonts w:ascii="宋体" w:hAnsi="宋体" w:cs="宋体"/>
          <w:spacing w:val="-11"/>
          <w:position w:val="7"/>
        </w:rPr>
        <w:t>；</w:t>
      </w:r>
    </w:p>
    <w:p w14:paraId="2849F564">
      <w:pPr>
        <w:spacing w:before="1" w:line="218" w:lineRule="auto"/>
        <w:ind w:firstLine="542"/>
        <w:rPr>
          <w:rFonts w:ascii="宋体" w:hAnsi="宋体" w:cs="宋体"/>
        </w:rPr>
      </w:pPr>
      <w:r>
        <w:rPr>
          <w:rFonts w:ascii="宋体" w:hAnsi="宋体" w:cs="宋体"/>
        </w:rPr>
        <w:t>——路面材料性能状况</w:t>
      </w:r>
      <w:r>
        <w:rPr>
          <w:rFonts w:ascii="宋体" w:hAnsi="宋体" w:cs="宋体"/>
          <w:spacing w:val="-20"/>
        </w:rPr>
        <w:t>。</w:t>
      </w:r>
    </w:p>
    <w:p w14:paraId="7FFF2A2D">
      <w:pPr>
        <w:spacing w:before="63" w:line="219" w:lineRule="auto"/>
        <w:ind w:firstLine="976"/>
        <w:rPr>
          <w:rFonts w:ascii="宋体" w:hAnsi="宋体" w:cs="宋体"/>
        </w:rPr>
      </w:pPr>
      <w:r>
        <w:rPr>
          <w:rFonts w:ascii="宋体" w:hAnsi="宋体" w:cs="宋体"/>
        </w:rPr>
        <w:drawing>
          <wp:inline distT="0" distB="0" distL="0" distR="0">
            <wp:extent cx="50800" cy="67945"/>
            <wp:effectExtent l="0" t="0" r="6350" b="8255"/>
            <wp:docPr id="9" name="图片 9"/>
            <wp:cNvGraphicFramePr/>
            <a:graphic xmlns:a="http://schemas.openxmlformats.org/drawingml/2006/main">
              <a:graphicData uri="http://schemas.openxmlformats.org/drawingml/2006/picture">
                <pic:pic xmlns:pic="http://schemas.openxmlformats.org/drawingml/2006/picture">
                  <pic:nvPicPr>
                    <pic:cNvPr id="9" name="图片 9"/>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0800" cy="67945"/>
                    </a:xfrm>
                    <a:prstGeom prst="rect">
                      <a:avLst/>
                    </a:prstGeom>
                    <a:noFill/>
                    <a:ln>
                      <a:noFill/>
                    </a:ln>
                  </pic:spPr>
                </pic:pic>
              </a:graphicData>
            </a:graphic>
          </wp:inline>
        </w:drawing>
      </w:r>
      <w:r>
        <w:rPr>
          <w:rFonts w:ascii="宋体" w:hAnsi="宋体" w:cs="宋体"/>
          <w:spacing w:val="1"/>
        </w:rPr>
        <w:t xml:space="preserve">   分析沥青混合料组成及老</w:t>
      </w:r>
      <w:r>
        <w:rPr>
          <w:rFonts w:ascii="宋体" w:hAnsi="宋体" w:cs="宋体"/>
        </w:rPr>
        <w:t>化程度</w:t>
      </w:r>
      <w:r>
        <w:rPr>
          <w:rFonts w:ascii="宋体" w:hAnsi="宋体" w:cs="宋体"/>
          <w:spacing w:val="1"/>
        </w:rPr>
        <w:t>、</w:t>
      </w:r>
      <w:r>
        <w:rPr>
          <w:rFonts w:ascii="宋体" w:hAnsi="宋体" w:cs="宋体"/>
        </w:rPr>
        <w:t>基层强度状况及路基土稳定性</w:t>
      </w:r>
      <w:r>
        <w:rPr>
          <w:rFonts w:ascii="宋体" w:hAnsi="宋体" w:cs="宋体"/>
          <w:spacing w:val="1"/>
        </w:rPr>
        <w:t>；</w:t>
      </w:r>
    </w:p>
    <w:p w14:paraId="127EED94">
      <w:pPr>
        <w:spacing w:before="62" w:line="220" w:lineRule="auto"/>
        <w:ind w:firstLine="542"/>
        <w:rPr>
          <w:rFonts w:ascii="宋体" w:hAnsi="宋体" w:cs="宋体"/>
        </w:rPr>
      </w:pPr>
      <w:r>
        <w:rPr>
          <w:rFonts w:ascii="宋体" w:hAnsi="宋体" w:cs="宋体"/>
        </w:rPr>
        <w:t>——路面排水状况</w:t>
      </w:r>
      <w:r>
        <w:rPr>
          <w:rFonts w:ascii="宋体" w:hAnsi="宋体" w:cs="宋体"/>
          <w:spacing w:val="-13"/>
        </w:rPr>
        <w:t>。</w:t>
      </w:r>
    </w:p>
    <w:p w14:paraId="448BE2F9">
      <w:pPr>
        <w:spacing w:before="62" w:line="312" w:lineRule="exact"/>
        <w:ind w:firstLine="976"/>
        <w:rPr>
          <w:rFonts w:ascii="宋体" w:hAnsi="宋体" w:cs="宋体"/>
        </w:rPr>
      </w:pPr>
      <w:r>
        <w:rPr>
          <w:rFonts w:ascii="宋体" w:hAnsi="宋体" w:cs="宋体"/>
          <w:position w:val="7"/>
        </w:rPr>
        <w:drawing>
          <wp:inline distT="0" distB="0" distL="0" distR="0">
            <wp:extent cx="50800" cy="67945"/>
            <wp:effectExtent l="0" t="0" r="6350" b="8255"/>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0800" cy="67945"/>
                    </a:xfrm>
                    <a:prstGeom prst="rect">
                      <a:avLst/>
                    </a:prstGeom>
                    <a:noFill/>
                    <a:ln>
                      <a:noFill/>
                    </a:ln>
                  </pic:spPr>
                </pic:pic>
              </a:graphicData>
            </a:graphic>
          </wp:inline>
        </w:drawing>
      </w:r>
      <w:r>
        <w:rPr>
          <w:rFonts w:ascii="宋体" w:hAnsi="宋体" w:cs="宋体"/>
          <w:position w:val="7"/>
        </w:rPr>
        <w:t xml:space="preserve">   分析路表排水设施的完整性</w:t>
      </w:r>
      <w:r>
        <w:rPr>
          <w:rFonts w:ascii="宋体" w:hAnsi="宋体" w:cs="宋体"/>
          <w:spacing w:val="-11"/>
          <w:position w:val="7"/>
        </w:rPr>
        <w:t>、</w:t>
      </w:r>
      <w:r>
        <w:rPr>
          <w:rFonts w:ascii="宋体" w:hAnsi="宋体" w:cs="宋体"/>
          <w:position w:val="7"/>
        </w:rPr>
        <w:t>结构内部和地下排水的通畅性</w:t>
      </w:r>
      <w:r>
        <w:rPr>
          <w:rFonts w:ascii="宋体" w:hAnsi="宋体" w:cs="宋体"/>
          <w:spacing w:val="-11"/>
          <w:position w:val="7"/>
        </w:rPr>
        <w:t>；</w:t>
      </w:r>
    </w:p>
    <w:p w14:paraId="14457B01">
      <w:pPr>
        <w:spacing w:before="62" w:line="220" w:lineRule="auto"/>
        <w:ind w:firstLine="542"/>
        <w:rPr>
          <w:rFonts w:ascii="宋体" w:hAnsi="宋体" w:cs="宋体"/>
        </w:rPr>
      </w:pPr>
      <w:r>
        <w:rPr>
          <w:rFonts w:ascii="宋体" w:hAnsi="宋体" w:cs="宋体"/>
        </w:rPr>
        <w:t>——气候、地质、交通及施工因素的影响。</w:t>
      </w:r>
    </w:p>
    <w:p w14:paraId="6FB909AE">
      <w:pPr>
        <w:pStyle w:val="56"/>
        <w:numPr>
          <w:ilvl w:val="2"/>
          <w:numId w:val="32"/>
        </w:numPr>
        <w:ind w:firstLineChars="0"/>
      </w:pPr>
      <w:r>
        <w:rPr>
          <w:rFonts w:ascii="黑体" w:hAnsi="黑体" w:eastAsia="黑体" w:cs="黑体"/>
          <w:szCs w:val="21"/>
        </w:rPr>
        <w:t>设计依据</w:t>
      </w:r>
    </w:p>
    <w:p w14:paraId="1F6A39F7">
      <w:pPr>
        <w:spacing w:before="221" w:line="220" w:lineRule="auto"/>
        <w:rPr>
          <w:rFonts w:ascii="宋体" w:hAnsi="宋体" w:cs="宋体"/>
        </w:rPr>
      </w:pPr>
      <w:r>
        <w:rPr>
          <w:rFonts w:ascii="黑体" w:hAnsi="黑体" w:eastAsia="黑体" w:cs="黑体"/>
        </w:rPr>
        <w:t>10.2.2.1</w:t>
      </w:r>
      <w:r>
        <w:rPr>
          <w:rFonts w:ascii="黑体" w:hAnsi="黑体" w:eastAsia="黑体" w:cs="黑体"/>
          <w:spacing w:val="-1"/>
        </w:rPr>
        <w:t xml:space="preserve">  </w:t>
      </w:r>
      <w:r>
        <w:rPr>
          <w:rFonts w:ascii="宋体" w:hAnsi="宋体" w:cs="宋体"/>
        </w:rPr>
        <w:t>实施</w:t>
      </w:r>
      <w:r>
        <w:rPr>
          <w:rFonts w:hint="eastAsia" w:ascii="宋体" w:hAnsi="宋体" w:cs="宋体"/>
          <w:lang w:val="en-US" w:eastAsia="zh-CN"/>
        </w:rPr>
        <w:t>预防性养护和修复</w:t>
      </w:r>
      <w:r>
        <w:rPr>
          <w:rFonts w:hint="eastAsia" w:ascii="宋体" w:hAnsi="宋体" w:cs="宋体"/>
        </w:rPr>
        <w:t>性</w:t>
      </w:r>
      <w:r>
        <w:rPr>
          <w:rFonts w:ascii="宋体" w:hAnsi="宋体" w:cs="宋体"/>
        </w:rPr>
        <w:t>养护措施的路面技术状况指标应符合表 2 的要求</w:t>
      </w:r>
      <w:r>
        <w:rPr>
          <w:rFonts w:ascii="宋体" w:hAnsi="宋体" w:cs="宋体"/>
          <w:spacing w:val="-68"/>
        </w:rPr>
        <w:t>。</w:t>
      </w:r>
    </w:p>
    <w:p w14:paraId="60835E5F">
      <w:pPr>
        <w:spacing w:before="216" w:line="218" w:lineRule="auto"/>
        <w:ind w:firstLine="2288" w:firstLineChars="1100"/>
        <w:rPr>
          <w:rFonts w:ascii="黑体" w:hAnsi="黑体" w:eastAsia="黑体" w:cs="黑体"/>
        </w:rPr>
      </w:pPr>
      <w:r>
        <w:rPr>
          <w:rFonts w:ascii="黑体" w:hAnsi="黑体" w:eastAsia="黑体" w:cs="黑体"/>
          <w:spacing w:val="-1"/>
        </w:rPr>
        <w:t>表2</w:t>
      </w:r>
      <w:r>
        <w:rPr>
          <w:rFonts w:ascii="黑体" w:hAnsi="黑体" w:eastAsia="黑体" w:cs="黑体"/>
          <w:spacing w:val="-3"/>
        </w:rPr>
        <w:t xml:space="preserve">  </w:t>
      </w:r>
      <w:r>
        <w:rPr>
          <w:rFonts w:ascii="黑体" w:hAnsi="黑体" w:eastAsia="黑体" w:cs="黑体"/>
        </w:rPr>
        <w:t>实施</w:t>
      </w:r>
      <w:r>
        <w:rPr>
          <w:rFonts w:hint="eastAsia" w:ascii="黑体" w:hAnsi="黑体" w:eastAsia="黑体" w:cs="黑体"/>
          <w:lang w:val="en-US" w:eastAsia="zh-CN"/>
        </w:rPr>
        <w:t>预防性养护及修复性养护</w:t>
      </w:r>
      <w:r>
        <w:rPr>
          <w:rFonts w:ascii="黑体" w:hAnsi="黑体" w:eastAsia="黑体" w:cs="黑体"/>
        </w:rPr>
        <w:t>的路面技术状况指标要求</w:t>
      </w:r>
    </w:p>
    <w:tbl>
      <w:tblPr>
        <w:tblStyle w:val="27"/>
        <w:tblW w:w="9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650"/>
        <w:gridCol w:w="1650"/>
        <w:gridCol w:w="1650"/>
        <w:gridCol w:w="1650"/>
        <w:gridCol w:w="1650"/>
        <w:gridCol w:w="1650"/>
      </w:tblGrid>
      <w:tr w14:paraId="42FA6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555" w:hRule="atLeast"/>
        </w:trPr>
        <w:tc>
          <w:tcPr>
            <w:tcW w:w="8250" w:type="dxa"/>
            <w:gridSpan w:val="5"/>
            <w:vAlign w:val="center"/>
          </w:tcPr>
          <w:p w14:paraId="159D18D6">
            <w:pPr>
              <w:spacing w:line="315" w:lineRule="auto"/>
              <w:jc w:val="center"/>
              <w:rPr>
                <w:rFonts w:hint="eastAsia" w:ascii="Arial" w:hAnsi="Arial" w:cs="Arial" w:eastAsiaTheme="minorEastAsia"/>
                <w:lang w:val="en-US" w:eastAsia="zh-CN"/>
              </w:rPr>
            </w:pPr>
            <w:r>
              <w:rPr>
                <w:rFonts w:hint="eastAsia" w:ascii="Arial" w:hAnsi="Arial" w:cs="Arial" w:eastAsiaTheme="minorEastAsia"/>
                <w:lang w:val="en-US" w:eastAsia="zh-CN"/>
              </w:rPr>
              <w:t>值域范围</w:t>
            </w:r>
          </w:p>
        </w:tc>
        <w:tc>
          <w:tcPr>
            <w:tcW w:w="1650" w:type="dxa"/>
            <w:vMerge w:val="restart"/>
            <w:vAlign w:val="center"/>
          </w:tcPr>
          <w:p w14:paraId="1A6D9ED3">
            <w:pPr>
              <w:spacing w:line="315" w:lineRule="auto"/>
              <w:jc w:val="center"/>
              <w:rPr>
                <w:rFonts w:hint="default" w:ascii="Arial" w:hAnsi="Arial" w:cs="Arial" w:eastAsiaTheme="minorEastAsia"/>
                <w:lang w:val="en-US" w:eastAsia="zh-CN"/>
              </w:rPr>
            </w:pPr>
            <w:r>
              <w:rPr>
                <w:rFonts w:hint="eastAsia" w:ascii="Arial" w:hAnsi="Arial" w:cs="Arial" w:eastAsiaTheme="minorEastAsia"/>
                <w:lang w:val="en-US" w:eastAsia="zh-CN"/>
              </w:rPr>
              <w:t>养护类型</w:t>
            </w:r>
          </w:p>
        </w:tc>
      </w:tr>
      <w:tr w14:paraId="2814D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555" w:hRule="atLeast"/>
        </w:trPr>
        <w:tc>
          <w:tcPr>
            <w:tcW w:w="1650" w:type="dxa"/>
            <w:vAlign w:val="center"/>
          </w:tcPr>
          <w:p w14:paraId="2F1110DE">
            <w:pPr>
              <w:spacing w:line="315" w:lineRule="auto"/>
              <w:jc w:val="center"/>
              <w:rPr>
                <w:rFonts w:hint="default" w:ascii="Arial" w:hAnsi="Arial" w:cs="Arial" w:eastAsiaTheme="minorEastAsia"/>
                <w:lang w:val="en-US" w:eastAsia="zh-CN"/>
              </w:rPr>
            </w:pPr>
            <w:r>
              <w:rPr>
                <w:rFonts w:hint="eastAsia" w:ascii="Arial" w:hAnsi="Arial" w:cs="Arial" w:eastAsiaTheme="minorEastAsia"/>
                <w:lang w:val="en-US" w:eastAsia="zh-CN"/>
              </w:rPr>
              <w:t>PCI</w:t>
            </w:r>
          </w:p>
        </w:tc>
        <w:tc>
          <w:tcPr>
            <w:tcW w:w="1650" w:type="dxa"/>
            <w:vAlign w:val="center"/>
          </w:tcPr>
          <w:p w14:paraId="14709739">
            <w:pPr>
              <w:spacing w:line="315" w:lineRule="auto"/>
              <w:jc w:val="center"/>
              <w:rPr>
                <w:rFonts w:hint="default" w:ascii="Arial" w:hAnsi="Arial" w:cs="Arial" w:eastAsiaTheme="minorEastAsia"/>
                <w:lang w:val="en-US"/>
              </w:rPr>
            </w:pPr>
            <w:r>
              <w:rPr>
                <w:rFonts w:hint="eastAsia" w:ascii="Arial" w:hAnsi="Arial" w:cs="Arial" w:eastAsiaTheme="minorEastAsia"/>
                <w:lang w:val="en-US" w:eastAsia="zh-CN"/>
              </w:rPr>
              <w:t>PCI</w:t>
            </w:r>
            <w:r>
              <w:rPr>
                <w:rFonts w:hint="eastAsia" w:ascii="Arial" w:hAnsi="Arial" w:cs="Arial" w:eastAsiaTheme="minorEastAsia"/>
                <w:vertAlign w:val="subscript"/>
                <w:lang w:val="en-US" w:eastAsia="zh-CN"/>
              </w:rPr>
              <w:t>S</w:t>
            </w:r>
          </w:p>
        </w:tc>
        <w:tc>
          <w:tcPr>
            <w:tcW w:w="1650" w:type="dxa"/>
            <w:vAlign w:val="center"/>
          </w:tcPr>
          <w:p w14:paraId="0012B3D9">
            <w:pPr>
              <w:spacing w:line="315" w:lineRule="auto"/>
              <w:jc w:val="center"/>
              <w:rPr>
                <w:rFonts w:hint="default" w:ascii="Arial" w:hAnsi="Arial" w:cs="Arial" w:eastAsiaTheme="minorEastAsia"/>
                <w:lang w:val="en-US" w:eastAsia="zh-CN"/>
              </w:rPr>
            </w:pPr>
            <w:r>
              <w:rPr>
                <w:rFonts w:hint="eastAsia" w:ascii="Arial" w:hAnsi="Arial" w:cs="Arial" w:eastAsiaTheme="minorEastAsia"/>
                <w:lang w:val="en-US" w:eastAsia="zh-CN"/>
              </w:rPr>
              <w:t>RQI</w:t>
            </w:r>
          </w:p>
        </w:tc>
        <w:tc>
          <w:tcPr>
            <w:tcW w:w="1650" w:type="dxa"/>
            <w:vAlign w:val="center"/>
          </w:tcPr>
          <w:p w14:paraId="4D7A77B3">
            <w:pPr>
              <w:spacing w:line="315" w:lineRule="auto"/>
              <w:jc w:val="center"/>
              <w:rPr>
                <w:rFonts w:hint="default" w:ascii="Arial" w:hAnsi="Arial" w:cs="Arial" w:eastAsiaTheme="minorEastAsia"/>
                <w:lang w:val="en-US" w:eastAsia="zh-CN"/>
              </w:rPr>
            </w:pPr>
            <w:r>
              <w:rPr>
                <w:rFonts w:hint="eastAsia" w:ascii="Arial" w:hAnsi="Arial" w:cs="Arial" w:eastAsiaTheme="minorEastAsia"/>
                <w:lang w:val="en-US" w:eastAsia="zh-CN"/>
              </w:rPr>
              <w:t>RDI</w:t>
            </w:r>
          </w:p>
        </w:tc>
        <w:tc>
          <w:tcPr>
            <w:tcW w:w="1650" w:type="dxa"/>
            <w:vAlign w:val="center"/>
          </w:tcPr>
          <w:p w14:paraId="583C8C80">
            <w:pPr>
              <w:spacing w:line="315" w:lineRule="auto"/>
              <w:jc w:val="center"/>
              <w:rPr>
                <w:rFonts w:hint="default" w:ascii="Arial" w:hAnsi="Arial" w:cs="Arial" w:eastAsiaTheme="minorEastAsia"/>
                <w:lang w:val="en-US" w:eastAsia="zh-CN"/>
              </w:rPr>
            </w:pPr>
            <w:r>
              <w:rPr>
                <w:rFonts w:hint="eastAsia" w:ascii="Arial" w:hAnsi="Arial" w:cs="Arial" w:eastAsiaTheme="minorEastAsia"/>
                <w:lang w:val="en-US" w:eastAsia="zh-CN"/>
              </w:rPr>
              <w:t>SRI</w:t>
            </w:r>
          </w:p>
        </w:tc>
        <w:tc>
          <w:tcPr>
            <w:tcW w:w="1650" w:type="dxa"/>
            <w:vMerge w:val="continue"/>
            <w:tcBorders/>
            <w:vAlign w:val="center"/>
          </w:tcPr>
          <w:p w14:paraId="4712CB8B">
            <w:pPr>
              <w:spacing w:line="315" w:lineRule="auto"/>
              <w:jc w:val="center"/>
              <w:rPr>
                <w:rFonts w:hint="default" w:ascii="Arial" w:hAnsi="Arial" w:cs="Arial" w:eastAsiaTheme="minorEastAsia"/>
                <w:lang w:val="en-US" w:eastAsia="zh-CN"/>
              </w:rPr>
            </w:pPr>
          </w:p>
        </w:tc>
      </w:tr>
      <w:tr w14:paraId="5F2D2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555" w:hRule="atLeast"/>
        </w:trPr>
        <w:tc>
          <w:tcPr>
            <w:tcW w:w="1650" w:type="dxa"/>
            <w:vMerge w:val="restart"/>
            <w:vAlign w:val="center"/>
          </w:tcPr>
          <w:p w14:paraId="1BFB7818">
            <w:pPr>
              <w:spacing w:line="315" w:lineRule="auto"/>
              <w:jc w:val="center"/>
              <w:rPr>
                <w:rFonts w:hint="default" w:ascii="Arial" w:hAnsi="Arial" w:cs="Arial" w:eastAsiaTheme="minorEastAsia"/>
                <w:lang w:val="en-US" w:eastAsia="zh-CN"/>
              </w:rPr>
            </w:pPr>
            <w:r>
              <w:rPr>
                <w:rFonts w:hint="eastAsia" w:ascii="Arial" w:hAnsi="Arial" w:cs="Arial" w:eastAsiaTheme="minorEastAsia"/>
                <w:lang w:val="en-US" w:eastAsia="zh-CN"/>
              </w:rPr>
              <w:t>≥90</w:t>
            </w:r>
          </w:p>
        </w:tc>
        <w:tc>
          <w:tcPr>
            <w:tcW w:w="1650" w:type="dxa"/>
            <w:vMerge w:val="restart"/>
            <w:vAlign w:val="center"/>
          </w:tcPr>
          <w:p w14:paraId="7A40B8B5">
            <w:pPr>
              <w:spacing w:line="315" w:lineRule="auto"/>
              <w:jc w:val="center"/>
              <w:rPr>
                <w:rFonts w:ascii="Arial" w:hAnsi="Arial" w:cs="Arial" w:eastAsiaTheme="minorEastAsia"/>
              </w:rPr>
            </w:pPr>
            <w:r>
              <w:rPr>
                <w:rFonts w:hint="eastAsia" w:ascii="Arial" w:hAnsi="Arial" w:cs="Arial" w:eastAsiaTheme="minorEastAsia"/>
                <w:lang w:val="en-US" w:eastAsia="zh-CN"/>
              </w:rPr>
              <w:t>≥90</w:t>
            </w:r>
          </w:p>
        </w:tc>
        <w:tc>
          <w:tcPr>
            <w:tcW w:w="1650" w:type="dxa"/>
            <w:vMerge w:val="restart"/>
            <w:vAlign w:val="center"/>
          </w:tcPr>
          <w:p w14:paraId="0F4D5F18">
            <w:pPr>
              <w:spacing w:line="315" w:lineRule="auto"/>
              <w:jc w:val="center"/>
              <w:rPr>
                <w:rFonts w:hint="default" w:ascii="Arial" w:hAnsi="Arial" w:cs="Arial" w:eastAsiaTheme="minorEastAsia"/>
                <w:lang w:val="en-US" w:eastAsia="zh-CN"/>
              </w:rPr>
            </w:pPr>
            <w:r>
              <w:rPr>
                <w:rFonts w:hint="eastAsia" w:ascii="Arial" w:hAnsi="Arial" w:cs="Arial" w:eastAsiaTheme="minorEastAsia"/>
                <w:lang w:val="en-US" w:eastAsia="zh-CN"/>
              </w:rPr>
              <w:t>≥90</w:t>
            </w:r>
          </w:p>
        </w:tc>
        <w:tc>
          <w:tcPr>
            <w:tcW w:w="1650" w:type="dxa"/>
            <w:vAlign w:val="center"/>
          </w:tcPr>
          <w:p w14:paraId="6DFF4FB5">
            <w:pPr>
              <w:spacing w:line="315" w:lineRule="auto"/>
              <w:jc w:val="center"/>
              <w:rPr>
                <w:rFonts w:hint="default" w:ascii="Arial" w:hAnsi="Arial" w:cs="Arial" w:eastAsiaTheme="minorEastAsia"/>
                <w:lang w:val="en-US" w:eastAsia="zh-CN"/>
              </w:rPr>
            </w:pPr>
            <w:r>
              <w:rPr>
                <w:rFonts w:hint="eastAsia" w:ascii="Arial" w:hAnsi="Arial" w:cs="Arial" w:eastAsiaTheme="minorEastAsia"/>
                <w:lang w:val="en-US" w:eastAsia="zh-CN"/>
              </w:rPr>
              <w:t>≥80</w:t>
            </w:r>
          </w:p>
        </w:tc>
        <w:tc>
          <w:tcPr>
            <w:tcW w:w="1650" w:type="dxa"/>
            <w:vAlign w:val="center"/>
          </w:tcPr>
          <w:p w14:paraId="1D6DCAAE">
            <w:pPr>
              <w:spacing w:line="315" w:lineRule="auto"/>
              <w:jc w:val="center"/>
              <w:rPr>
                <w:rFonts w:hint="default" w:ascii="Arial" w:hAnsi="Arial" w:cs="Arial" w:eastAsiaTheme="minorEastAsia"/>
                <w:lang w:val="en-US" w:eastAsia="zh-CN"/>
              </w:rPr>
            </w:pPr>
            <w:r>
              <w:rPr>
                <w:rFonts w:hint="eastAsia" w:ascii="Arial" w:hAnsi="Arial" w:cs="Arial" w:eastAsiaTheme="minorEastAsia"/>
                <w:lang w:val="en-US" w:eastAsia="zh-CN"/>
              </w:rPr>
              <w:t>＜75</w:t>
            </w:r>
          </w:p>
        </w:tc>
        <w:tc>
          <w:tcPr>
            <w:tcW w:w="1650" w:type="dxa"/>
            <w:vAlign w:val="center"/>
          </w:tcPr>
          <w:p w14:paraId="47BA3BA9">
            <w:pPr>
              <w:spacing w:line="315" w:lineRule="auto"/>
              <w:jc w:val="center"/>
              <w:rPr>
                <w:rFonts w:hint="default" w:ascii="Arial" w:hAnsi="Arial" w:cs="Arial" w:eastAsiaTheme="minorEastAsia"/>
                <w:lang w:val="en-US" w:eastAsia="zh-CN"/>
              </w:rPr>
            </w:pPr>
            <w:r>
              <w:rPr>
                <w:rFonts w:hint="eastAsia" w:ascii="Arial" w:hAnsi="Arial" w:cs="Arial" w:eastAsiaTheme="minorEastAsia"/>
                <w:lang w:val="en-US" w:eastAsia="zh-CN"/>
              </w:rPr>
              <w:t>预防性养护</w:t>
            </w:r>
          </w:p>
        </w:tc>
      </w:tr>
      <w:tr w14:paraId="039D6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555" w:hRule="atLeast"/>
        </w:trPr>
        <w:tc>
          <w:tcPr>
            <w:tcW w:w="1650" w:type="dxa"/>
            <w:vMerge w:val="continue"/>
            <w:tcBorders/>
            <w:vAlign w:val="center"/>
          </w:tcPr>
          <w:p w14:paraId="018A4D90">
            <w:pPr>
              <w:spacing w:line="315" w:lineRule="auto"/>
              <w:jc w:val="center"/>
              <w:rPr>
                <w:rFonts w:ascii="Arial" w:hAnsi="Arial" w:cs="Arial" w:eastAsiaTheme="minorEastAsia"/>
              </w:rPr>
            </w:pPr>
          </w:p>
        </w:tc>
        <w:tc>
          <w:tcPr>
            <w:tcW w:w="1650" w:type="dxa"/>
            <w:vMerge w:val="continue"/>
            <w:tcBorders/>
            <w:vAlign w:val="center"/>
          </w:tcPr>
          <w:p w14:paraId="2406F64D">
            <w:pPr>
              <w:spacing w:line="315" w:lineRule="auto"/>
              <w:jc w:val="center"/>
              <w:rPr>
                <w:rFonts w:ascii="Arial" w:hAnsi="Arial" w:cs="Arial" w:eastAsiaTheme="minorEastAsia"/>
              </w:rPr>
            </w:pPr>
          </w:p>
        </w:tc>
        <w:tc>
          <w:tcPr>
            <w:tcW w:w="1650" w:type="dxa"/>
            <w:vMerge w:val="continue"/>
            <w:tcBorders/>
            <w:vAlign w:val="center"/>
          </w:tcPr>
          <w:p w14:paraId="5DE8E1B2">
            <w:pPr>
              <w:spacing w:line="315" w:lineRule="auto"/>
              <w:jc w:val="center"/>
              <w:rPr>
                <w:rFonts w:ascii="Arial" w:hAnsi="Arial" w:cs="Arial" w:eastAsiaTheme="minorEastAsia"/>
              </w:rPr>
            </w:pPr>
          </w:p>
        </w:tc>
        <w:tc>
          <w:tcPr>
            <w:tcW w:w="1650" w:type="dxa"/>
            <w:vAlign w:val="center"/>
          </w:tcPr>
          <w:p w14:paraId="068F5C6B">
            <w:pPr>
              <w:spacing w:line="315" w:lineRule="auto"/>
              <w:jc w:val="center"/>
              <w:rPr>
                <w:rFonts w:hint="default" w:ascii="Arial" w:hAnsi="Arial" w:cs="Arial" w:eastAsiaTheme="minorEastAsia"/>
                <w:lang w:val="en-US" w:eastAsia="zh-CN"/>
              </w:rPr>
            </w:pPr>
            <w:r>
              <w:rPr>
                <w:rFonts w:hint="eastAsia" w:ascii="Arial" w:hAnsi="Arial" w:cs="Arial" w:eastAsiaTheme="minorEastAsia"/>
                <w:lang w:val="en-US" w:eastAsia="zh-CN"/>
              </w:rPr>
              <w:t>＜80</w:t>
            </w:r>
          </w:p>
        </w:tc>
        <w:tc>
          <w:tcPr>
            <w:tcW w:w="1650" w:type="dxa"/>
            <w:vAlign w:val="center"/>
          </w:tcPr>
          <w:p w14:paraId="650FE12E">
            <w:pPr>
              <w:spacing w:line="315" w:lineRule="auto"/>
              <w:jc w:val="center"/>
              <w:rPr>
                <w:rFonts w:hint="default" w:ascii="Arial" w:hAnsi="Arial" w:cs="Arial" w:eastAsiaTheme="minorEastAsia"/>
                <w:lang w:val="en-US" w:eastAsia="zh-CN"/>
              </w:rPr>
            </w:pPr>
            <w:r>
              <w:rPr>
                <w:rFonts w:hint="eastAsia" w:ascii="Arial" w:hAnsi="Arial" w:cs="Arial" w:eastAsiaTheme="minorEastAsia"/>
                <w:lang w:val="en-US" w:eastAsia="zh-CN"/>
              </w:rPr>
              <w:t>_</w:t>
            </w:r>
          </w:p>
        </w:tc>
        <w:tc>
          <w:tcPr>
            <w:tcW w:w="1650" w:type="dxa"/>
            <w:vAlign w:val="center"/>
          </w:tcPr>
          <w:p w14:paraId="19B5E676">
            <w:pPr>
              <w:spacing w:line="315" w:lineRule="auto"/>
              <w:jc w:val="center"/>
              <w:rPr>
                <w:rFonts w:hint="default" w:ascii="Arial" w:hAnsi="Arial" w:cs="Arial" w:eastAsiaTheme="minorEastAsia"/>
                <w:lang w:val="en-US" w:eastAsia="zh-CN"/>
              </w:rPr>
            </w:pPr>
            <w:r>
              <w:rPr>
                <w:rFonts w:hint="eastAsia" w:ascii="Arial" w:hAnsi="Arial" w:cs="Arial" w:eastAsiaTheme="minorEastAsia"/>
                <w:lang w:val="en-US" w:eastAsia="zh-CN"/>
              </w:rPr>
              <w:t>修复性养护</w:t>
            </w:r>
          </w:p>
        </w:tc>
      </w:tr>
      <w:tr w14:paraId="4C6B6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555" w:hRule="atLeast"/>
        </w:trPr>
        <w:tc>
          <w:tcPr>
            <w:tcW w:w="1650" w:type="dxa"/>
            <w:vMerge w:val="continue"/>
            <w:tcBorders/>
            <w:vAlign w:val="center"/>
          </w:tcPr>
          <w:p w14:paraId="20D82B34">
            <w:pPr>
              <w:spacing w:line="315" w:lineRule="auto"/>
              <w:jc w:val="center"/>
              <w:rPr>
                <w:rFonts w:ascii="Arial" w:hAnsi="Arial" w:cs="Arial" w:eastAsiaTheme="minorEastAsia"/>
              </w:rPr>
            </w:pPr>
          </w:p>
        </w:tc>
        <w:tc>
          <w:tcPr>
            <w:tcW w:w="1650" w:type="dxa"/>
            <w:vMerge w:val="continue"/>
            <w:tcBorders/>
            <w:vAlign w:val="center"/>
          </w:tcPr>
          <w:p w14:paraId="5AC3CF25">
            <w:pPr>
              <w:spacing w:line="315" w:lineRule="auto"/>
              <w:jc w:val="center"/>
              <w:rPr>
                <w:rFonts w:ascii="Arial" w:hAnsi="Arial" w:cs="Arial" w:eastAsiaTheme="minorEastAsia"/>
              </w:rPr>
            </w:pPr>
          </w:p>
        </w:tc>
        <w:tc>
          <w:tcPr>
            <w:tcW w:w="1650" w:type="dxa"/>
            <w:vAlign w:val="center"/>
          </w:tcPr>
          <w:p w14:paraId="1FFF2DC3">
            <w:pPr>
              <w:spacing w:line="315" w:lineRule="auto"/>
              <w:jc w:val="center"/>
              <w:rPr>
                <w:rFonts w:ascii="Arial" w:hAnsi="Arial" w:cs="Arial" w:eastAsiaTheme="minorEastAsia"/>
              </w:rPr>
            </w:pPr>
            <w:r>
              <w:rPr>
                <w:rFonts w:hint="eastAsia" w:ascii="Arial" w:hAnsi="Arial" w:cs="Arial" w:eastAsiaTheme="minorEastAsia"/>
                <w:lang w:val="en-US" w:eastAsia="zh-CN"/>
              </w:rPr>
              <w:t>85~90</w:t>
            </w:r>
          </w:p>
        </w:tc>
        <w:tc>
          <w:tcPr>
            <w:tcW w:w="3300" w:type="dxa"/>
            <w:gridSpan w:val="2"/>
            <w:vAlign w:val="center"/>
          </w:tcPr>
          <w:p w14:paraId="7E11A8B1">
            <w:pPr>
              <w:spacing w:line="315" w:lineRule="auto"/>
              <w:jc w:val="center"/>
              <w:rPr>
                <w:rFonts w:ascii="Arial" w:hAnsi="Arial" w:cs="Arial" w:eastAsiaTheme="minorEastAsia"/>
              </w:rPr>
            </w:pPr>
            <w:r>
              <w:rPr>
                <w:rFonts w:hint="eastAsia" w:ascii="Arial" w:hAnsi="Arial" w:cs="Arial" w:eastAsiaTheme="minorEastAsia"/>
                <w:lang w:val="en-US" w:eastAsia="zh-CN"/>
              </w:rPr>
              <w:t>_</w:t>
            </w:r>
          </w:p>
        </w:tc>
        <w:tc>
          <w:tcPr>
            <w:tcW w:w="1650" w:type="dxa"/>
            <w:vAlign w:val="center"/>
          </w:tcPr>
          <w:p w14:paraId="3774C30A">
            <w:pPr>
              <w:spacing w:line="315" w:lineRule="auto"/>
              <w:jc w:val="center"/>
              <w:rPr>
                <w:rFonts w:hint="default" w:ascii="Arial" w:hAnsi="Arial" w:cs="Arial" w:eastAsiaTheme="minorEastAsia"/>
                <w:lang w:val="en-US" w:eastAsia="zh-CN"/>
              </w:rPr>
            </w:pPr>
            <w:r>
              <w:rPr>
                <w:rFonts w:hint="eastAsia" w:ascii="Arial" w:hAnsi="Arial" w:cs="Arial" w:eastAsiaTheme="minorEastAsia"/>
                <w:lang w:val="en-US" w:eastAsia="zh-CN"/>
              </w:rPr>
              <w:t>预防性养护</w:t>
            </w:r>
          </w:p>
        </w:tc>
      </w:tr>
      <w:tr w14:paraId="1FF0D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555" w:hRule="atLeast"/>
        </w:trPr>
        <w:tc>
          <w:tcPr>
            <w:tcW w:w="1650" w:type="dxa"/>
            <w:vMerge w:val="continue"/>
            <w:tcBorders/>
            <w:vAlign w:val="center"/>
          </w:tcPr>
          <w:p w14:paraId="08090E6C">
            <w:pPr>
              <w:spacing w:line="315" w:lineRule="auto"/>
              <w:jc w:val="center"/>
              <w:rPr>
                <w:rFonts w:ascii="Arial" w:hAnsi="Arial" w:cs="Arial" w:eastAsiaTheme="minorEastAsia"/>
              </w:rPr>
            </w:pPr>
          </w:p>
        </w:tc>
        <w:tc>
          <w:tcPr>
            <w:tcW w:w="1650" w:type="dxa"/>
            <w:vMerge w:val="continue"/>
            <w:tcBorders/>
            <w:vAlign w:val="center"/>
          </w:tcPr>
          <w:p w14:paraId="6CFC5E6A">
            <w:pPr>
              <w:spacing w:line="315" w:lineRule="auto"/>
              <w:jc w:val="center"/>
              <w:rPr>
                <w:rFonts w:ascii="Arial" w:hAnsi="Arial" w:cs="Arial" w:eastAsiaTheme="minorEastAsia"/>
              </w:rPr>
            </w:pPr>
          </w:p>
        </w:tc>
        <w:tc>
          <w:tcPr>
            <w:tcW w:w="1650" w:type="dxa"/>
            <w:vAlign w:val="center"/>
          </w:tcPr>
          <w:p w14:paraId="6BA64144">
            <w:pPr>
              <w:spacing w:line="315" w:lineRule="auto"/>
              <w:jc w:val="center"/>
              <w:rPr>
                <w:rFonts w:ascii="Arial" w:hAnsi="Arial" w:cs="Arial" w:eastAsiaTheme="minorEastAsia"/>
              </w:rPr>
            </w:pPr>
            <w:r>
              <w:rPr>
                <w:rFonts w:hint="eastAsia" w:ascii="Arial" w:hAnsi="Arial" w:cs="Arial" w:eastAsiaTheme="minorEastAsia"/>
                <w:lang w:val="en-US" w:eastAsia="zh-CN"/>
              </w:rPr>
              <w:t>＜85</w:t>
            </w:r>
          </w:p>
        </w:tc>
        <w:tc>
          <w:tcPr>
            <w:tcW w:w="3300" w:type="dxa"/>
            <w:gridSpan w:val="2"/>
            <w:vAlign w:val="center"/>
          </w:tcPr>
          <w:p w14:paraId="0626D6F5">
            <w:pPr>
              <w:spacing w:line="315" w:lineRule="auto"/>
              <w:jc w:val="center"/>
              <w:rPr>
                <w:rFonts w:ascii="Arial" w:hAnsi="Arial" w:cs="Arial" w:eastAsiaTheme="minorEastAsia"/>
              </w:rPr>
            </w:pPr>
            <w:r>
              <w:rPr>
                <w:rFonts w:hint="eastAsia" w:ascii="Arial" w:hAnsi="Arial" w:cs="Arial" w:eastAsiaTheme="minorEastAsia"/>
                <w:lang w:val="en-US" w:eastAsia="zh-CN"/>
              </w:rPr>
              <w:t>_</w:t>
            </w:r>
          </w:p>
        </w:tc>
        <w:tc>
          <w:tcPr>
            <w:tcW w:w="1650" w:type="dxa"/>
            <w:vAlign w:val="center"/>
          </w:tcPr>
          <w:p w14:paraId="3A38E4D5">
            <w:pPr>
              <w:spacing w:line="315" w:lineRule="auto"/>
              <w:jc w:val="center"/>
              <w:rPr>
                <w:rFonts w:hint="default" w:ascii="Arial" w:hAnsi="Arial" w:cs="Arial" w:eastAsiaTheme="minorEastAsia"/>
                <w:lang w:val="en-US" w:eastAsia="zh-CN"/>
              </w:rPr>
            </w:pPr>
            <w:r>
              <w:rPr>
                <w:rFonts w:hint="eastAsia" w:ascii="Arial" w:hAnsi="Arial" w:cs="Arial" w:eastAsiaTheme="minorEastAsia"/>
                <w:lang w:val="en-US" w:eastAsia="zh-CN"/>
              </w:rPr>
              <w:t>修复性养护</w:t>
            </w:r>
          </w:p>
        </w:tc>
      </w:tr>
      <w:tr w14:paraId="2FCB9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555" w:hRule="atLeast"/>
        </w:trPr>
        <w:tc>
          <w:tcPr>
            <w:tcW w:w="1650" w:type="dxa"/>
            <w:vMerge w:val="restart"/>
            <w:vAlign w:val="center"/>
          </w:tcPr>
          <w:p w14:paraId="46A98A5C">
            <w:pPr>
              <w:spacing w:line="315" w:lineRule="auto"/>
              <w:jc w:val="center"/>
              <w:rPr>
                <w:rFonts w:hint="default" w:ascii="Arial" w:hAnsi="Arial" w:cs="Arial" w:eastAsiaTheme="minorEastAsia"/>
                <w:lang w:val="en-US" w:eastAsia="zh-CN"/>
              </w:rPr>
            </w:pPr>
            <w:r>
              <w:rPr>
                <w:rFonts w:hint="eastAsia" w:ascii="Arial" w:hAnsi="Arial" w:cs="Arial" w:eastAsiaTheme="minorEastAsia"/>
                <w:lang w:val="en-US" w:eastAsia="zh-CN"/>
              </w:rPr>
              <w:t>85~90</w:t>
            </w:r>
          </w:p>
        </w:tc>
        <w:tc>
          <w:tcPr>
            <w:tcW w:w="1650" w:type="dxa"/>
            <w:vMerge w:val="restart"/>
            <w:vAlign w:val="center"/>
          </w:tcPr>
          <w:p w14:paraId="426343D7">
            <w:pPr>
              <w:spacing w:line="315" w:lineRule="auto"/>
              <w:jc w:val="center"/>
              <w:rPr>
                <w:rFonts w:ascii="Arial" w:hAnsi="Arial" w:cs="Arial" w:eastAsiaTheme="minorEastAsia"/>
              </w:rPr>
            </w:pPr>
            <w:r>
              <w:rPr>
                <w:rFonts w:hint="eastAsia" w:ascii="Arial" w:hAnsi="Arial" w:cs="Arial" w:eastAsiaTheme="minorEastAsia"/>
                <w:lang w:val="en-US" w:eastAsia="zh-CN"/>
              </w:rPr>
              <w:t>85~90</w:t>
            </w:r>
          </w:p>
        </w:tc>
        <w:tc>
          <w:tcPr>
            <w:tcW w:w="1650" w:type="dxa"/>
            <w:vAlign w:val="center"/>
          </w:tcPr>
          <w:p w14:paraId="314AAE2D">
            <w:pPr>
              <w:spacing w:line="315" w:lineRule="auto"/>
              <w:jc w:val="center"/>
              <w:rPr>
                <w:rFonts w:hint="default" w:ascii="Arial" w:hAnsi="Arial" w:cs="Arial" w:eastAsiaTheme="minorEastAsia"/>
                <w:lang w:val="en-US" w:eastAsia="zh-CN"/>
              </w:rPr>
            </w:pPr>
            <w:r>
              <w:rPr>
                <w:rFonts w:hint="eastAsia" w:ascii="Arial" w:hAnsi="Arial" w:cs="Arial" w:eastAsiaTheme="minorEastAsia"/>
                <w:lang w:val="en-US" w:eastAsia="zh-CN"/>
              </w:rPr>
              <w:t>≥85</w:t>
            </w:r>
          </w:p>
        </w:tc>
        <w:tc>
          <w:tcPr>
            <w:tcW w:w="3300" w:type="dxa"/>
            <w:gridSpan w:val="2"/>
            <w:vAlign w:val="center"/>
          </w:tcPr>
          <w:p w14:paraId="60374C04">
            <w:pPr>
              <w:spacing w:line="315" w:lineRule="auto"/>
              <w:jc w:val="center"/>
              <w:rPr>
                <w:rFonts w:ascii="Arial" w:hAnsi="Arial" w:cs="Arial" w:eastAsiaTheme="minorEastAsia"/>
              </w:rPr>
            </w:pPr>
            <w:r>
              <w:rPr>
                <w:rFonts w:hint="eastAsia" w:ascii="Arial" w:hAnsi="Arial" w:cs="Arial" w:eastAsiaTheme="minorEastAsia"/>
                <w:lang w:val="en-US" w:eastAsia="zh-CN"/>
              </w:rPr>
              <w:t>_</w:t>
            </w:r>
          </w:p>
        </w:tc>
        <w:tc>
          <w:tcPr>
            <w:tcW w:w="1650" w:type="dxa"/>
            <w:vAlign w:val="center"/>
          </w:tcPr>
          <w:p w14:paraId="1F46C3FE">
            <w:pPr>
              <w:spacing w:line="315" w:lineRule="auto"/>
              <w:jc w:val="center"/>
              <w:rPr>
                <w:rFonts w:ascii="Arial" w:hAnsi="Arial" w:cs="Arial" w:eastAsiaTheme="minorEastAsia"/>
              </w:rPr>
            </w:pPr>
            <w:r>
              <w:rPr>
                <w:rFonts w:hint="eastAsia" w:ascii="Arial" w:hAnsi="Arial" w:cs="Arial" w:eastAsiaTheme="minorEastAsia"/>
                <w:lang w:val="en-US" w:eastAsia="zh-CN"/>
              </w:rPr>
              <w:t>预防性养护</w:t>
            </w:r>
          </w:p>
        </w:tc>
      </w:tr>
      <w:tr w14:paraId="4471B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555" w:hRule="atLeast"/>
        </w:trPr>
        <w:tc>
          <w:tcPr>
            <w:tcW w:w="1650" w:type="dxa"/>
            <w:vMerge w:val="continue"/>
            <w:tcBorders/>
            <w:vAlign w:val="center"/>
          </w:tcPr>
          <w:p w14:paraId="38FF52C4">
            <w:pPr>
              <w:spacing w:line="315" w:lineRule="auto"/>
              <w:jc w:val="center"/>
              <w:rPr>
                <w:rFonts w:ascii="Arial" w:hAnsi="Arial" w:cs="Arial" w:eastAsiaTheme="minorEastAsia"/>
              </w:rPr>
            </w:pPr>
          </w:p>
        </w:tc>
        <w:tc>
          <w:tcPr>
            <w:tcW w:w="1650" w:type="dxa"/>
            <w:vMerge w:val="continue"/>
            <w:tcBorders/>
            <w:vAlign w:val="center"/>
          </w:tcPr>
          <w:p w14:paraId="62C99680">
            <w:pPr>
              <w:spacing w:line="315" w:lineRule="auto"/>
              <w:jc w:val="center"/>
              <w:rPr>
                <w:rFonts w:ascii="Arial" w:hAnsi="Arial" w:cs="Arial" w:eastAsiaTheme="minorEastAsia"/>
              </w:rPr>
            </w:pPr>
          </w:p>
        </w:tc>
        <w:tc>
          <w:tcPr>
            <w:tcW w:w="1650" w:type="dxa"/>
            <w:vAlign w:val="center"/>
          </w:tcPr>
          <w:p w14:paraId="6E70103C">
            <w:pPr>
              <w:spacing w:line="315" w:lineRule="auto"/>
              <w:jc w:val="center"/>
              <w:rPr>
                <w:rFonts w:hint="default" w:ascii="Arial" w:hAnsi="Arial" w:cs="Arial" w:eastAsiaTheme="minorEastAsia"/>
                <w:lang w:val="en-US" w:eastAsia="zh-CN"/>
              </w:rPr>
            </w:pPr>
            <w:r>
              <w:rPr>
                <w:rFonts w:hint="eastAsia" w:ascii="Arial" w:hAnsi="Arial" w:cs="Arial" w:eastAsiaTheme="minorEastAsia"/>
                <w:lang w:val="en-US" w:eastAsia="zh-CN"/>
              </w:rPr>
              <w:t>＜85</w:t>
            </w:r>
          </w:p>
        </w:tc>
        <w:tc>
          <w:tcPr>
            <w:tcW w:w="3300" w:type="dxa"/>
            <w:gridSpan w:val="2"/>
            <w:vAlign w:val="center"/>
          </w:tcPr>
          <w:p w14:paraId="31C0679A">
            <w:pPr>
              <w:spacing w:line="315" w:lineRule="auto"/>
              <w:jc w:val="center"/>
              <w:rPr>
                <w:rFonts w:ascii="Arial" w:hAnsi="Arial" w:cs="Arial" w:eastAsiaTheme="minorEastAsia"/>
              </w:rPr>
            </w:pPr>
            <w:r>
              <w:rPr>
                <w:rFonts w:hint="eastAsia" w:ascii="Arial" w:hAnsi="Arial" w:cs="Arial" w:eastAsiaTheme="minorEastAsia"/>
                <w:lang w:val="en-US" w:eastAsia="zh-CN"/>
              </w:rPr>
              <w:t>_</w:t>
            </w:r>
          </w:p>
        </w:tc>
        <w:tc>
          <w:tcPr>
            <w:tcW w:w="1650" w:type="dxa"/>
            <w:vAlign w:val="center"/>
          </w:tcPr>
          <w:p w14:paraId="6D9EE22D">
            <w:pPr>
              <w:spacing w:line="315" w:lineRule="auto"/>
              <w:jc w:val="center"/>
              <w:rPr>
                <w:rFonts w:hint="default" w:ascii="Arial" w:hAnsi="Arial" w:cs="Arial" w:eastAsiaTheme="minorEastAsia"/>
                <w:lang w:val="en-US" w:eastAsia="zh-CN"/>
              </w:rPr>
            </w:pPr>
            <w:r>
              <w:rPr>
                <w:rFonts w:hint="eastAsia" w:ascii="Arial" w:hAnsi="Arial" w:cs="Arial" w:eastAsiaTheme="minorEastAsia"/>
                <w:lang w:val="en-US" w:eastAsia="zh-CN"/>
              </w:rPr>
              <w:t>修复性养护</w:t>
            </w:r>
          </w:p>
        </w:tc>
      </w:tr>
      <w:tr w14:paraId="5FF4F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615" w:hRule="atLeast"/>
        </w:trPr>
        <w:tc>
          <w:tcPr>
            <w:tcW w:w="1650" w:type="dxa"/>
            <w:vAlign w:val="center"/>
          </w:tcPr>
          <w:p w14:paraId="7F2B8399">
            <w:pPr>
              <w:spacing w:line="315" w:lineRule="auto"/>
              <w:jc w:val="center"/>
              <w:rPr>
                <w:rFonts w:hint="default" w:ascii="Arial" w:hAnsi="Arial" w:cs="Arial" w:eastAsiaTheme="minorEastAsia"/>
                <w:lang w:val="en-US" w:eastAsia="zh-CN"/>
              </w:rPr>
            </w:pPr>
            <w:r>
              <w:rPr>
                <w:rFonts w:hint="eastAsia" w:ascii="Arial" w:hAnsi="Arial" w:cs="Arial" w:eastAsiaTheme="minorEastAsia"/>
                <w:lang w:val="en-US" w:eastAsia="zh-CN"/>
              </w:rPr>
              <w:t>＜85</w:t>
            </w:r>
          </w:p>
        </w:tc>
        <w:tc>
          <w:tcPr>
            <w:tcW w:w="1650" w:type="dxa"/>
            <w:vAlign w:val="center"/>
          </w:tcPr>
          <w:p w14:paraId="57756A33">
            <w:pPr>
              <w:spacing w:line="315" w:lineRule="auto"/>
              <w:jc w:val="center"/>
              <w:rPr>
                <w:rFonts w:ascii="Arial" w:hAnsi="Arial" w:cs="Arial" w:eastAsiaTheme="minorEastAsia"/>
              </w:rPr>
            </w:pPr>
            <w:r>
              <w:rPr>
                <w:rFonts w:hint="eastAsia" w:ascii="Arial" w:hAnsi="Arial" w:cs="Arial" w:eastAsiaTheme="minorEastAsia"/>
                <w:lang w:val="en-US" w:eastAsia="zh-CN"/>
              </w:rPr>
              <w:t>＜85</w:t>
            </w:r>
          </w:p>
        </w:tc>
        <w:tc>
          <w:tcPr>
            <w:tcW w:w="4950" w:type="dxa"/>
            <w:gridSpan w:val="3"/>
            <w:vAlign w:val="center"/>
          </w:tcPr>
          <w:p w14:paraId="366B0520">
            <w:pPr>
              <w:spacing w:line="315" w:lineRule="auto"/>
              <w:jc w:val="center"/>
              <w:rPr>
                <w:rFonts w:ascii="Arial" w:hAnsi="Arial" w:cs="Arial" w:eastAsiaTheme="minorEastAsia"/>
              </w:rPr>
            </w:pPr>
            <w:r>
              <w:rPr>
                <w:rFonts w:hint="eastAsia" w:ascii="Arial" w:hAnsi="Arial" w:cs="Arial" w:eastAsiaTheme="minorEastAsia"/>
                <w:lang w:val="en-US" w:eastAsia="zh-CN"/>
              </w:rPr>
              <w:t>_</w:t>
            </w:r>
          </w:p>
        </w:tc>
        <w:tc>
          <w:tcPr>
            <w:tcW w:w="1650" w:type="dxa"/>
            <w:vAlign w:val="center"/>
          </w:tcPr>
          <w:p w14:paraId="161D7668">
            <w:pPr>
              <w:spacing w:line="315" w:lineRule="auto"/>
              <w:jc w:val="center"/>
              <w:rPr>
                <w:rFonts w:ascii="Arial" w:hAnsi="Arial" w:cs="Arial" w:eastAsiaTheme="minorEastAsia"/>
              </w:rPr>
            </w:pPr>
            <w:r>
              <w:rPr>
                <w:rFonts w:hint="eastAsia" w:ascii="Arial" w:hAnsi="Arial" w:cs="Arial" w:eastAsiaTheme="minorEastAsia"/>
                <w:lang w:val="en-US" w:eastAsia="zh-CN"/>
              </w:rPr>
              <w:t>修复性养护</w:t>
            </w:r>
          </w:p>
        </w:tc>
      </w:tr>
    </w:tbl>
    <w:p w14:paraId="16215499">
      <w:pPr>
        <w:pStyle w:val="231"/>
        <w:spacing w:line="172" w:lineRule="exact"/>
        <w:ind w:left="0" w:leftChars="0" w:firstLine="0" w:firstLineChars="0"/>
      </w:pPr>
    </w:p>
    <w:p w14:paraId="3853CAB7">
      <w:pPr>
        <w:spacing w:before="69" w:line="360" w:lineRule="auto"/>
        <w:ind w:left="122" w:right="105" w:firstLine="13"/>
        <w:rPr>
          <w:rFonts w:ascii="宋体" w:hAnsi="宋体" w:cs="宋体"/>
        </w:rPr>
      </w:pPr>
      <w:r>
        <w:rPr>
          <w:rFonts w:ascii="黑体" w:hAnsi="黑体" w:eastAsia="黑体" w:cs="黑体"/>
        </w:rPr>
        <w:t>10.2.2.2</w:t>
      </w:r>
      <w:r>
        <w:rPr>
          <w:rFonts w:ascii="黑体" w:hAnsi="黑体" w:eastAsia="黑体" w:cs="黑体"/>
          <w:spacing w:val="-2"/>
        </w:rPr>
        <w:t xml:space="preserve"> </w:t>
      </w:r>
      <w:r>
        <w:rPr>
          <w:rFonts w:ascii="黑体" w:hAnsi="黑体" w:eastAsia="黑体" w:cs="黑体"/>
          <w:spacing w:val="-1"/>
        </w:rPr>
        <w:t xml:space="preserve"> </w:t>
      </w:r>
      <w:r>
        <w:rPr>
          <w:rFonts w:ascii="宋体" w:hAnsi="宋体" w:cs="宋体"/>
        </w:rPr>
        <w:t>当路面结构稳定</w:t>
      </w:r>
      <w:r>
        <w:rPr>
          <w:rFonts w:ascii="宋体" w:hAnsi="宋体" w:cs="宋体"/>
          <w:spacing w:val="-27"/>
        </w:rPr>
        <w:t>，</w:t>
      </w:r>
      <w:r>
        <w:rPr>
          <w:rFonts w:ascii="宋体" w:hAnsi="宋体" w:cs="宋体"/>
          <w:spacing w:val="-105"/>
        </w:rPr>
        <w:t xml:space="preserve"> </w:t>
      </w:r>
      <w:r>
        <w:rPr>
          <w:rFonts w:ascii="宋体" w:hAnsi="宋体" w:cs="宋体"/>
        </w:rPr>
        <w:t>路面技术状况尚好</w:t>
      </w:r>
      <w:r>
        <w:rPr>
          <w:rFonts w:ascii="宋体" w:hAnsi="宋体" w:cs="宋体"/>
          <w:spacing w:val="-27"/>
        </w:rPr>
        <w:t>，</w:t>
      </w:r>
      <w:r>
        <w:rPr>
          <w:rFonts w:ascii="宋体" w:hAnsi="宋体" w:cs="宋体"/>
          <w:spacing w:val="-105"/>
        </w:rPr>
        <w:t xml:space="preserve"> </w:t>
      </w:r>
      <w:r>
        <w:rPr>
          <w:rFonts w:ascii="宋体" w:hAnsi="宋体" w:cs="宋体"/>
        </w:rPr>
        <w:t>不足以进行</w:t>
      </w:r>
      <w:r>
        <w:rPr>
          <w:rFonts w:hint="eastAsia" w:ascii="宋体" w:hAnsi="宋体" w:cs="宋体"/>
          <w:lang w:val="en-US" w:eastAsia="zh-CN"/>
        </w:rPr>
        <w:t>修复</w:t>
      </w:r>
      <w:r>
        <w:rPr>
          <w:rFonts w:ascii="宋体" w:hAnsi="宋体" w:cs="宋体"/>
        </w:rPr>
        <w:t>性养护时</w:t>
      </w:r>
      <w:r>
        <w:rPr>
          <w:rFonts w:ascii="宋体" w:hAnsi="宋体" w:cs="宋体"/>
          <w:spacing w:val="-27"/>
        </w:rPr>
        <w:t>，</w:t>
      </w:r>
      <w:r>
        <w:rPr>
          <w:rFonts w:ascii="宋体" w:hAnsi="宋体" w:cs="宋体"/>
          <w:spacing w:val="-105"/>
        </w:rPr>
        <w:t xml:space="preserve"> </w:t>
      </w:r>
      <w:r>
        <w:rPr>
          <w:rFonts w:ascii="宋体" w:hAnsi="宋体" w:cs="宋体"/>
        </w:rPr>
        <w:t>路面出现以下状况的</w:t>
      </w:r>
      <w:r>
        <w:rPr>
          <w:rFonts w:ascii="宋体" w:hAnsi="宋体" w:cs="宋体"/>
          <w:spacing w:val="-27"/>
        </w:rPr>
        <w:t>，</w:t>
      </w:r>
      <w:r>
        <w:rPr>
          <w:rFonts w:ascii="宋体" w:hAnsi="宋体" w:cs="宋体"/>
          <w:spacing w:val="-105"/>
        </w:rPr>
        <w:t xml:space="preserve"> </w:t>
      </w:r>
      <w:r>
        <w:rPr>
          <w:rFonts w:ascii="宋体" w:hAnsi="宋体" w:cs="宋体"/>
        </w:rPr>
        <w:t>宜采取预防性养护措施</w:t>
      </w:r>
      <w:r>
        <w:rPr>
          <w:rFonts w:ascii="宋体" w:hAnsi="宋体" w:cs="宋体"/>
          <w:spacing w:val="-7"/>
        </w:rPr>
        <w:t>，</w:t>
      </w:r>
      <w:r>
        <w:rPr>
          <w:rFonts w:ascii="宋体" w:hAnsi="宋体" w:cs="宋体"/>
        </w:rPr>
        <w:t>如微表处</w:t>
      </w:r>
      <w:r>
        <w:rPr>
          <w:rFonts w:ascii="宋体" w:hAnsi="宋体" w:cs="宋体"/>
          <w:spacing w:val="-6"/>
        </w:rPr>
        <w:t>、</w:t>
      </w:r>
      <w:r>
        <w:rPr>
          <w:rFonts w:ascii="宋体" w:hAnsi="宋体" w:cs="宋体"/>
        </w:rPr>
        <w:t>雾封层</w:t>
      </w:r>
      <w:r>
        <w:rPr>
          <w:rFonts w:ascii="宋体" w:hAnsi="宋体" w:cs="宋体"/>
          <w:spacing w:val="-6"/>
        </w:rPr>
        <w:t>、</w:t>
      </w:r>
      <w:r>
        <w:rPr>
          <w:rFonts w:ascii="宋体" w:hAnsi="宋体" w:cs="宋体"/>
        </w:rPr>
        <w:t>超薄磨耗层等</w:t>
      </w:r>
      <w:r>
        <w:rPr>
          <w:rFonts w:ascii="宋体" w:hAnsi="宋体" w:cs="宋体"/>
          <w:spacing w:val="-6"/>
        </w:rPr>
        <w:t>。</w:t>
      </w:r>
    </w:p>
    <w:p w14:paraId="5313F205">
      <w:pPr>
        <w:spacing w:line="360" w:lineRule="auto"/>
        <w:ind w:firstLine="542"/>
        <w:rPr>
          <w:rFonts w:ascii="宋体" w:hAnsi="宋体" w:cs="宋体"/>
        </w:rPr>
      </w:pPr>
      <w:r>
        <w:rPr>
          <w:rFonts w:ascii="宋体" w:hAnsi="宋体" w:cs="宋体"/>
          <w:position w:val="7"/>
        </w:rPr>
        <w:t>——出现麻面</w:t>
      </w:r>
      <w:r>
        <w:rPr>
          <w:rFonts w:ascii="宋体" w:hAnsi="宋体" w:cs="宋体"/>
          <w:spacing w:val="-8"/>
          <w:position w:val="7"/>
        </w:rPr>
        <w:t>、</w:t>
      </w:r>
      <w:r>
        <w:rPr>
          <w:rFonts w:ascii="宋体" w:hAnsi="宋体" w:cs="宋体"/>
          <w:position w:val="7"/>
        </w:rPr>
        <w:t>贫油</w:t>
      </w:r>
      <w:r>
        <w:rPr>
          <w:rFonts w:ascii="宋体" w:hAnsi="宋体" w:cs="宋体"/>
          <w:spacing w:val="-8"/>
          <w:position w:val="7"/>
        </w:rPr>
        <w:t>、</w:t>
      </w:r>
      <w:r>
        <w:rPr>
          <w:rFonts w:ascii="宋体" w:hAnsi="宋体" w:cs="宋体"/>
          <w:position w:val="7"/>
        </w:rPr>
        <w:t>渗水加剧现象</w:t>
      </w:r>
      <w:r>
        <w:rPr>
          <w:rFonts w:ascii="宋体" w:hAnsi="宋体" w:cs="宋体"/>
          <w:spacing w:val="-7"/>
          <w:position w:val="7"/>
        </w:rPr>
        <w:t>；</w:t>
      </w:r>
    </w:p>
    <w:p w14:paraId="58883CA6">
      <w:pPr>
        <w:spacing w:before="1" w:line="360" w:lineRule="auto"/>
        <w:ind w:firstLine="542"/>
        <w:rPr>
          <w:rFonts w:ascii="宋体" w:hAnsi="宋体" w:cs="宋体"/>
        </w:rPr>
      </w:pPr>
      <w:r>
        <w:rPr>
          <w:rFonts w:ascii="宋体" w:hAnsi="宋体" w:cs="宋体"/>
        </w:rPr>
        <w:t>——出现轻微纵</w:t>
      </w:r>
      <w:r>
        <w:rPr>
          <w:rFonts w:ascii="宋体" w:hAnsi="宋体" w:cs="宋体"/>
          <w:spacing w:val="-14"/>
        </w:rPr>
        <w:t>、</w:t>
      </w:r>
      <w:r>
        <w:rPr>
          <w:rFonts w:ascii="宋体" w:hAnsi="宋体" w:cs="宋体"/>
        </w:rPr>
        <w:t>横向裂缝</w:t>
      </w:r>
      <w:r>
        <w:rPr>
          <w:rFonts w:ascii="宋体" w:hAnsi="宋体" w:cs="宋体"/>
          <w:spacing w:val="-13"/>
        </w:rPr>
        <w:t>；</w:t>
      </w:r>
    </w:p>
    <w:p w14:paraId="5F9F3DC5">
      <w:pPr>
        <w:spacing w:before="61" w:line="360" w:lineRule="auto"/>
        <w:ind w:firstLine="135"/>
        <w:rPr>
          <w:rFonts w:ascii="宋体" w:hAnsi="宋体" w:cs="宋体"/>
        </w:rPr>
      </w:pPr>
      <w:r>
        <w:rPr>
          <w:rFonts w:ascii="黑体" w:hAnsi="黑体" w:eastAsia="黑体" w:cs="黑体"/>
        </w:rPr>
        <w:t>10.2.2.3</w:t>
      </w:r>
      <w:r>
        <w:rPr>
          <w:rFonts w:ascii="黑体" w:hAnsi="黑体" w:eastAsia="黑体" w:cs="黑体"/>
          <w:spacing w:val="-1"/>
        </w:rPr>
        <w:t xml:space="preserve"> </w:t>
      </w:r>
      <w:r>
        <w:rPr>
          <w:rFonts w:ascii="黑体" w:hAnsi="黑体" w:eastAsia="黑体" w:cs="黑体"/>
        </w:rPr>
        <w:t xml:space="preserve"> </w:t>
      </w:r>
      <w:r>
        <w:rPr>
          <w:rFonts w:ascii="宋体" w:hAnsi="宋体" w:cs="宋体"/>
        </w:rPr>
        <w:t>当路面排水状况不良时</w:t>
      </w:r>
      <w:r>
        <w:rPr>
          <w:rFonts w:ascii="宋体" w:hAnsi="宋体" w:cs="宋体"/>
          <w:spacing w:val="-16"/>
        </w:rPr>
        <w:t>，</w:t>
      </w:r>
      <w:r>
        <w:rPr>
          <w:rFonts w:ascii="宋体" w:hAnsi="宋体" w:cs="宋体"/>
        </w:rPr>
        <w:t>应加强路面排水系统优化设计</w:t>
      </w:r>
      <w:r>
        <w:rPr>
          <w:rFonts w:ascii="宋体" w:hAnsi="宋体" w:cs="宋体"/>
          <w:spacing w:val="-16"/>
        </w:rPr>
        <w:t>。</w:t>
      </w:r>
    </w:p>
    <w:p w14:paraId="3F9E87D7">
      <w:pPr>
        <w:spacing w:before="62" w:line="360" w:lineRule="auto"/>
        <w:ind w:firstLine="135"/>
        <w:rPr>
          <w:rFonts w:ascii="宋体" w:hAnsi="宋体" w:cs="宋体"/>
        </w:rPr>
      </w:pPr>
      <w:r>
        <w:rPr>
          <w:rFonts w:ascii="黑体" w:hAnsi="黑体" w:eastAsia="黑体" w:cs="黑体"/>
        </w:rPr>
        <w:t xml:space="preserve">10.2.2.4  </w:t>
      </w:r>
      <w:r>
        <w:rPr>
          <w:rFonts w:ascii="宋体" w:hAnsi="宋体" w:cs="宋体"/>
        </w:rPr>
        <w:t>养护设计还应考虑养护规划</w:t>
      </w:r>
      <w:r>
        <w:rPr>
          <w:rFonts w:ascii="宋体" w:hAnsi="宋体" w:cs="宋体"/>
          <w:spacing w:val="-15"/>
        </w:rPr>
        <w:t>、</w:t>
      </w:r>
      <w:r>
        <w:rPr>
          <w:rFonts w:ascii="宋体" w:hAnsi="宋体" w:cs="宋体"/>
        </w:rPr>
        <w:t>养护经费预算等因素</w:t>
      </w:r>
      <w:r>
        <w:rPr>
          <w:rFonts w:ascii="宋体" w:hAnsi="宋体" w:cs="宋体"/>
          <w:spacing w:val="-15"/>
        </w:rPr>
        <w:t>。</w:t>
      </w:r>
    </w:p>
    <w:p w14:paraId="57C80CCB">
      <w:pPr>
        <w:spacing w:before="217" w:line="218" w:lineRule="auto"/>
        <w:ind w:firstLine="135"/>
        <w:rPr>
          <w:rFonts w:ascii="黑体" w:hAnsi="黑体" w:eastAsia="黑体" w:cs="黑体"/>
        </w:rPr>
      </w:pPr>
      <w:r>
        <w:rPr>
          <w:rFonts w:ascii="黑体" w:hAnsi="黑体" w:eastAsia="黑体" w:cs="黑体"/>
          <w:spacing w:val="-1"/>
        </w:rPr>
        <w:t>10.2</w:t>
      </w:r>
      <w:r>
        <w:rPr>
          <w:rFonts w:ascii="黑体" w:hAnsi="黑体" w:eastAsia="黑体" w:cs="黑体"/>
        </w:rPr>
        <w:t>.3</w:t>
      </w:r>
      <w:r>
        <w:rPr>
          <w:rFonts w:ascii="黑体" w:hAnsi="黑体" w:eastAsia="黑体" w:cs="黑体"/>
          <w:spacing w:val="-5"/>
        </w:rPr>
        <w:t xml:space="preserve">  </w:t>
      </w:r>
      <w:r>
        <w:rPr>
          <w:rFonts w:ascii="黑体" w:hAnsi="黑体" w:eastAsia="黑体" w:cs="黑体"/>
        </w:rPr>
        <w:t>方案比选</w:t>
      </w:r>
    </w:p>
    <w:p w14:paraId="6864BD10">
      <w:pPr>
        <w:spacing w:before="221" w:line="247" w:lineRule="auto"/>
        <w:ind w:left="123" w:right="105" w:firstLine="12"/>
        <w:rPr>
          <w:rFonts w:ascii="宋体" w:hAnsi="宋体" w:cs="宋体"/>
        </w:rPr>
      </w:pPr>
      <w:r>
        <w:rPr>
          <w:rFonts w:ascii="黑体" w:hAnsi="黑体" w:eastAsia="黑体" w:cs="黑体"/>
        </w:rPr>
        <w:t>10.2.3.1</w:t>
      </w:r>
      <w:r>
        <w:rPr>
          <w:rFonts w:ascii="黑体" w:hAnsi="黑体" w:eastAsia="黑体" w:cs="黑体"/>
          <w:spacing w:val="-1"/>
        </w:rPr>
        <w:t xml:space="preserve"> </w:t>
      </w:r>
      <w:r>
        <w:rPr>
          <w:rFonts w:ascii="黑体" w:hAnsi="黑体" w:eastAsia="黑体" w:cs="黑体"/>
        </w:rPr>
        <w:t xml:space="preserve"> </w:t>
      </w:r>
      <w:r>
        <w:rPr>
          <w:rFonts w:hint="eastAsia" w:ascii="宋体" w:hAnsi="宋体" w:cs="宋体"/>
        </w:rPr>
        <w:t>养护设计时，应结合路况、资金状况、需求制定一种或多种养护方案，并进行技术与效益比选</w:t>
      </w:r>
      <w:r>
        <w:rPr>
          <w:rFonts w:ascii="宋体" w:hAnsi="宋体" w:cs="宋体"/>
          <w:spacing w:val="-3"/>
        </w:rPr>
        <w:t>。</w:t>
      </w:r>
    </w:p>
    <w:p w14:paraId="1880E396">
      <w:pPr>
        <w:spacing w:before="64" w:line="218" w:lineRule="auto"/>
        <w:ind w:firstLine="135"/>
        <w:rPr>
          <w:rFonts w:ascii="宋体" w:hAnsi="宋体" w:cs="宋体"/>
        </w:rPr>
      </w:pPr>
      <w:r>
        <w:rPr>
          <w:rFonts w:ascii="黑体" w:hAnsi="黑体" w:eastAsia="黑体" w:cs="黑体"/>
        </w:rPr>
        <w:t>10.2.3.2</w:t>
      </w:r>
      <w:r>
        <w:rPr>
          <w:rFonts w:ascii="黑体" w:hAnsi="黑体" w:eastAsia="黑体" w:cs="黑体"/>
          <w:spacing w:val="-2"/>
        </w:rPr>
        <w:t xml:space="preserve"> </w:t>
      </w:r>
      <w:r>
        <w:rPr>
          <w:rFonts w:ascii="黑体" w:hAnsi="黑体" w:eastAsia="黑体" w:cs="黑体"/>
          <w:spacing w:val="-1"/>
        </w:rPr>
        <w:t xml:space="preserve"> </w:t>
      </w:r>
      <w:r>
        <w:rPr>
          <w:rFonts w:ascii="宋体" w:hAnsi="宋体" w:cs="宋体"/>
        </w:rPr>
        <w:t>技术</w:t>
      </w:r>
      <w:r>
        <w:rPr>
          <w:rFonts w:hint="eastAsia" w:ascii="宋体" w:hAnsi="宋体" w:cs="宋体"/>
        </w:rPr>
        <w:t>性比选</w:t>
      </w:r>
      <w:r>
        <w:rPr>
          <w:rFonts w:ascii="宋体" w:hAnsi="宋体" w:cs="宋体"/>
        </w:rPr>
        <w:t>包括路面养护效果</w:t>
      </w:r>
      <w:r>
        <w:rPr>
          <w:rFonts w:ascii="宋体" w:hAnsi="宋体" w:cs="宋体"/>
          <w:spacing w:val="-7"/>
        </w:rPr>
        <w:t>、</w:t>
      </w:r>
      <w:r>
        <w:rPr>
          <w:rFonts w:ascii="宋体" w:hAnsi="宋体" w:cs="宋体"/>
        </w:rPr>
        <w:t>工艺的成熟性</w:t>
      </w:r>
      <w:r>
        <w:rPr>
          <w:rFonts w:ascii="宋体" w:hAnsi="宋体" w:cs="宋体"/>
          <w:spacing w:val="-7"/>
        </w:rPr>
        <w:t>、</w:t>
      </w:r>
      <w:r>
        <w:rPr>
          <w:rFonts w:ascii="宋体" w:hAnsi="宋体" w:cs="宋体"/>
        </w:rPr>
        <w:t>工期</w:t>
      </w:r>
      <w:r>
        <w:rPr>
          <w:rFonts w:ascii="宋体" w:hAnsi="宋体" w:cs="宋体"/>
          <w:spacing w:val="-7"/>
        </w:rPr>
        <w:t>、</w:t>
      </w:r>
      <w:r>
        <w:rPr>
          <w:rFonts w:ascii="宋体" w:hAnsi="宋体" w:cs="宋体"/>
        </w:rPr>
        <w:t>造价</w:t>
      </w:r>
      <w:r>
        <w:rPr>
          <w:rFonts w:ascii="宋体" w:hAnsi="宋体" w:cs="宋体"/>
          <w:spacing w:val="-7"/>
        </w:rPr>
        <w:t>、</w:t>
      </w:r>
      <w:r>
        <w:rPr>
          <w:rFonts w:ascii="宋体" w:hAnsi="宋体" w:cs="宋体"/>
        </w:rPr>
        <w:t>旧料利用等</w:t>
      </w:r>
      <w:r>
        <w:rPr>
          <w:rFonts w:ascii="宋体" w:hAnsi="宋体" w:cs="宋体"/>
          <w:spacing w:val="-7"/>
        </w:rPr>
        <w:t>。</w:t>
      </w:r>
    </w:p>
    <w:p w14:paraId="202B5982">
      <w:pPr>
        <w:pStyle w:val="56"/>
        <w:ind w:firstLineChars="0"/>
        <w:rPr>
          <w:rFonts w:hAnsi="宋体" w:cs="宋体"/>
          <w:spacing w:val="-18"/>
          <w:szCs w:val="21"/>
        </w:rPr>
      </w:pPr>
      <w:r>
        <w:rPr>
          <w:rFonts w:ascii="黑体" w:hAnsi="黑体" w:eastAsia="黑体" w:cs="黑体"/>
          <w:szCs w:val="21"/>
        </w:rPr>
        <w:t>10.2.3.3</w:t>
      </w:r>
      <w:r>
        <w:rPr>
          <w:rFonts w:ascii="黑体" w:hAnsi="黑体" w:eastAsia="黑体" w:cs="黑体"/>
          <w:spacing w:val="-1"/>
          <w:szCs w:val="21"/>
        </w:rPr>
        <w:t xml:space="preserve">  </w:t>
      </w:r>
      <w:r>
        <w:rPr>
          <w:rFonts w:hint="eastAsia" w:ascii="黑体" w:hAnsi="黑体" w:eastAsia="黑体" w:cs="黑体"/>
          <w:spacing w:val="-1"/>
          <w:szCs w:val="21"/>
        </w:rPr>
        <w:t>经济性比选</w:t>
      </w:r>
      <w:r>
        <w:rPr>
          <w:rFonts w:hAnsi="宋体" w:cs="宋体"/>
          <w:szCs w:val="21"/>
        </w:rPr>
        <w:t>包括经济效益</w:t>
      </w:r>
      <w:r>
        <w:rPr>
          <w:rFonts w:hAnsi="宋体" w:cs="宋体"/>
          <w:spacing w:val="-18"/>
          <w:szCs w:val="21"/>
        </w:rPr>
        <w:t>、</w:t>
      </w:r>
      <w:r>
        <w:rPr>
          <w:rFonts w:hAnsi="宋体" w:cs="宋体"/>
          <w:szCs w:val="21"/>
        </w:rPr>
        <w:t>社会</w:t>
      </w:r>
      <w:r>
        <w:rPr>
          <w:rFonts w:hint="eastAsia" w:hAnsi="宋体" w:cs="宋体"/>
          <w:szCs w:val="21"/>
        </w:rPr>
        <w:t>效益、环保效益比选</w:t>
      </w:r>
      <w:r>
        <w:rPr>
          <w:rFonts w:hAnsi="宋体" w:cs="宋体"/>
          <w:szCs w:val="21"/>
        </w:rPr>
        <w:t>等</w:t>
      </w:r>
      <w:r>
        <w:rPr>
          <w:rFonts w:hAnsi="宋体" w:cs="宋体"/>
          <w:spacing w:val="-18"/>
          <w:szCs w:val="21"/>
        </w:rPr>
        <w:t>。</w:t>
      </w:r>
    </w:p>
    <w:p w14:paraId="5024C7AA">
      <w:pPr>
        <w:spacing w:before="248" w:line="218" w:lineRule="auto"/>
        <w:ind w:firstLine="12"/>
        <w:rPr>
          <w:rFonts w:ascii="黑体" w:hAnsi="黑体" w:eastAsia="黑体" w:cs="黑体"/>
        </w:rPr>
      </w:pPr>
      <w:r>
        <w:rPr>
          <w:rFonts w:ascii="黑体" w:hAnsi="黑体" w:eastAsia="黑体" w:cs="黑体"/>
          <w:spacing w:val="-1"/>
        </w:rPr>
        <w:t>10.</w:t>
      </w:r>
      <w:r>
        <w:rPr>
          <w:rFonts w:ascii="黑体" w:hAnsi="黑体" w:eastAsia="黑体" w:cs="黑体"/>
        </w:rPr>
        <w:t>2.4</w:t>
      </w:r>
      <w:r>
        <w:rPr>
          <w:rFonts w:ascii="黑体" w:hAnsi="黑体" w:eastAsia="黑体" w:cs="黑体"/>
          <w:spacing w:val="-6"/>
        </w:rPr>
        <w:t xml:space="preserve">  </w:t>
      </w:r>
      <w:r>
        <w:rPr>
          <w:rFonts w:ascii="黑体" w:hAnsi="黑体" w:eastAsia="黑体" w:cs="黑体"/>
        </w:rPr>
        <w:t>方案设计文件</w:t>
      </w:r>
    </w:p>
    <w:p w14:paraId="6A7CA74E">
      <w:pPr>
        <w:spacing w:before="222" w:line="218" w:lineRule="auto"/>
        <w:ind w:firstLine="12"/>
        <w:rPr>
          <w:rFonts w:ascii="宋体" w:hAnsi="宋体" w:cs="宋体"/>
        </w:rPr>
      </w:pPr>
      <w:r>
        <w:rPr>
          <w:rFonts w:ascii="黑体" w:hAnsi="黑体" w:eastAsia="黑体" w:cs="黑体"/>
        </w:rPr>
        <w:t>10.2.4.1</w:t>
      </w:r>
      <w:r>
        <w:rPr>
          <w:rFonts w:ascii="黑体" w:hAnsi="黑体" w:eastAsia="黑体" w:cs="黑体"/>
          <w:spacing w:val="-1"/>
        </w:rPr>
        <w:t xml:space="preserve"> </w:t>
      </w:r>
      <w:r>
        <w:rPr>
          <w:rFonts w:ascii="黑体" w:hAnsi="黑体" w:eastAsia="黑体" w:cs="黑体"/>
        </w:rPr>
        <w:t xml:space="preserve"> </w:t>
      </w:r>
      <w:r>
        <w:rPr>
          <w:rFonts w:ascii="宋体" w:hAnsi="宋体" w:cs="宋体"/>
        </w:rPr>
        <w:t>方案设计内容包括病害处治方案</w:t>
      </w:r>
      <w:r>
        <w:rPr>
          <w:rFonts w:ascii="宋体" w:hAnsi="宋体" w:cs="宋体"/>
          <w:spacing w:val="-13"/>
        </w:rPr>
        <w:t>、</w:t>
      </w:r>
      <w:r>
        <w:rPr>
          <w:rFonts w:ascii="宋体" w:hAnsi="宋体" w:cs="宋体"/>
        </w:rPr>
        <w:t>交通组织设计</w:t>
      </w:r>
      <w:r>
        <w:rPr>
          <w:rFonts w:ascii="宋体" w:hAnsi="宋体" w:cs="宋体"/>
          <w:spacing w:val="-13"/>
        </w:rPr>
        <w:t>、</w:t>
      </w:r>
      <w:r>
        <w:rPr>
          <w:rFonts w:ascii="宋体" w:hAnsi="宋体" w:cs="宋体"/>
        </w:rPr>
        <w:t>方案造价估算等</w:t>
      </w:r>
      <w:r>
        <w:rPr>
          <w:rFonts w:ascii="宋体" w:hAnsi="宋体" w:cs="宋体"/>
          <w:spacing w:val="-13"/>
        </w:rPr>
        <w:t>。</w:t>
      </w:r>
    </w:p>
    <w:p w14:paraId="5242180C">
      <w:pPr>
        <w:spacing w:before="63" w:line="219" w:lineRule="auto"/>
        <w:ind w:firstLine="12"/>
        <w:rPr>
          <w:rFonts w:ascii="宋体" w:hAnsi="宋体" w:cs="宋体"/>
        </w:rPr>
      </w:pPr>
      <w:r>
        <w:rPr>
          <w:rFonts w:ascii="黑体" w:hAnsi="黑体" w:eastAsia="黑体" w:cs="黑体"/>
        </w:rPr>
        <w:t>10.2.4.2</w:t>
      </w:r>
      <w:r>
        <w:rPr>
          <w:rFonts w:ascii="黑体" w:hAnsi="黑体" w:eastAsia="黑体" w:cs="黑体"/>
          <w:spacing w:val="-1"/>
        </w:rPr>
        <w:t xml:space="preserve"> </w:t>
      </w:r>
      <w:r>
        <w:rPr>
          <w:rFonts w:ascii="黑体" w:hAnsi="黑体" w:eastAsia="黑体" w:cs="黑体"/>
        </w:rPr>
        <w:t xml:space="preserve"> </w:t>
      </w:r>
      <w:r>
        <w:rPr>
          <w:rFonts w:ascii="宋体" w:hAnsi="宋体" w:cs="宋体"/>
        </w:rPr>
        <w:t>方案设计文件组成参照附录 A</w:t>
      </w:r>
      <w:r>
        <w:rPr>
          <w:rFonts w:ascii="宋体" w:hAnsi="宋体" w:cs="宋体"/>
          <w:spacing w:val="-77"/>
        </w:rPr>
        <w:t>。</w:t>
      </w:r>
    </w:p>
    <w:p w14:paraId="21F4F65C">
      <w:pPr>
        <w:spacing w:before="216" w:line="219" w:lineRule="auto"/>
        <w:ind w:firstLine="12"/>
        <w:rPr>
          <w:rFonts w:ascii="黑体" w:hAnsi="黑体" w:eastAsia="黑体" w:cs="黑体"/>
        </w:rPr>
      </w:pPr>
      <w:r>
        <w:rPr>
          <w:rFonts w:ascii="黑体" w:hAnsi="黑体" w:eastAsia="黑体" w:cs="黑体"/>
          <w:spacing w:val="-1"/>
        </w:rPr>
        <w:t>10.</w:t>
      </w:r>
      <w:r>
        <w:rPr>
          <w:rFonts w:ascii="黑体" w:hAnsi="黑体" w:eastAsia="黑体" w:cs="黑体"/>
        </w:rPr>
        <w:t>3</w:t>
      </w:r>
      <w:r>
        <w:rPr>
          <w:rFonts w:ascii="黑体" w:hAnsi="黑体" w:eastAsia="黑体" w:cs="黑体"/>
          <w:spacing w:val="-4"/>
        </w:rPr>
        <w:t xml:space="preserve">   </w:t>
      </w:r>
      <w:r>
        <w:rPr>
          <w:rFonts w:ascii="黑体" w:hAnsi="黑体" w:eastAsia="黑体" w:cs="黑体"/>
        </w:rPr>
        <w:t>施工图设计</w:t>
      </w:r>
    </w:p>
    <w:p w14:paraId="7F347F5B">
      <w:pPr>
        <w:spacing w:before="221" w:line="360" w:lineRule="auto"/>
        <w:ind w:firstLine="12"/>
        <w:rPr>
          <w:rFonts w:ascii="宋体" w:hAnsi="宋体" w:cs="宋体"/>
        </w:rPr>
      </w:pPr>
      <w:r>
        <w:rPr>
          <w:rFonts w:ascii="黑体" w:hAnsi="黑体" w:eastAsia="黑体" w:cs="黑体"/>
        </w:rPr>
        <w:t xml:space="preserve">10.3.1  </w:t>
      </w:r>
      <w:r>
        <w:rPr>
          <w:rFonts w:ascii="宋体" w:hAnsi="宋体" w:cs="宋体"/>
        </w:rPr>
        <w:t>设计内容包括材料组成</w:t>
      </w:r>
      <w:r>
        <w:rPr>
          <w:rFonts w:ascii="宋体" w:hAnsi="宋体" w:cs="宋体"/>
          <w:spacing w:val="-4"/>
        </w:rPr>
        <w:t>、</w:t>
      </w:r>
      <w:r>
        <w:rPr>
          <w:rFonts w:ascii="宋体" w:hAnsi="宋体" w:cs="宋体"/>
        </w:rPr>
        <w:t>施工工艺</w:t>
      </w:r>
      <w:r>
        <w:rPr>
          <w:rFonts w:ascii="宋体" w:hAnsi="宋体" w:cs="宋体"/>
          <w:spacing w:val="-4"/>
        </w:rPr>
        <w:t>、</w:t>
      </w:r>
      <w:r>
        <w:rPr>
          <w:rFonts w:ascii="宋体" w:hAnsi="宋体" w:cs="宋体"/>
        </w:rPr>
        <w:t>养护方案</w:t>
      </w:r>
      <w:r>
        <w:rPr>
          <w:rFonts w:ascii="宋体" w:hAnsi="宋体" w:cs="宋体"/>
          <w:spacing w:val="-4"/>
        </w:rPr>
        <w:t>、</w:t>
      </w:r>
      <w:r>
        <w:rPr>
          <w:rFonts w:ascii="宋体" w:hAnsi="宋体" w:cs="宋体"/>
        </w:rPr>
        <w:t>排水系统设计以及交通组织设计等</w:t>
      </w:r>
      <w:r>
        <w:rPr>
          <w:rFonts w:ascii="宋体" w:hAnsi="宋体" w:cs="宋体"/>
          <w:spacing w:val="-4"/>
        </w:rPr>
        <w:t>。</w:t>
      </w:r>
    </w:p>
    <w:p w14:paraId="46F44020">
      <w:pPr>
        <w:spacing w:before="63" w:line="360" w:lineRule="auto"/>
        <w:ind w:right="128" w:firstLine="12"/>
        <w:rPr>
          <w:rFonts w:ascii="宋体" w:hAnsi="宋体" w:cs="宋体"/>
        </w:rPr>
      </w:pPr>
      <w:r>
        <w:rPr>
          <w:rFonts w:ascii="黑体" w:hAnsi="黑体" w:eastAsia="黑体" w:cs="黑体"/>
        </w:rPr>
        <w:t>10.3.2</w:t>
      </w:r>
      <w:r>
        <w:rPr>
          <w:rFonts w:ascii="黑体" w:hAnsi="黑体" w:eastAsia="黑体" w:cs="黑体"/>
          <w:spacing w:val="-1"/>
        </w:rPr>
        <w:t xml:space="preserve"> </w:t>
      </w:r>
      <w:r>
        <w:rPr>
          <w:rFonts w:ascii="黑体" w:hAnsi="黑体" w:eastAsia="黑体" w:cs="黑体"/>
        </w:rPr>
        <w:t xml:space="preserve"> </w:t>
      </w:r>
      <w:r>
        <w:rPr>
          <w:rFonts w:ascii="宋体" w:hAnsi="宋体" w:cs="宋体"/>
        </w:rPr>
        <w:t>按照 JTG D50 和 JTG F40 的相关规定进行材料组成设计</w:t>
      </w:r>
      <w:r>
        <w:rPr>
          <w:rFonts w:ascii="宋体" w:hAnsi="宋体" w:cs="宋体"/>
          <w:spacing w:val="-93"/>
        </w:rPr>
        <w:t>，</w:t>
      </w:r>
      <w:r>
        <w:rPr>
          <w:rFonts w:ascii="宋体" w:hAnsi="宋体" w:cs="宋体"/>
        </w:rPr>
        <w:t>包括材料选择及性能要求</w:t>
      </w:r>
      <w:r>
        <w:rPr>
          <w:rFonts w:ascii="宋体" w:hAnsi="宋体" w:cs="宋体"/>
          <w:spacing w:val="-93"/>
        </w:rPr>
        <w:t>、</w:t>
      </w:r>
      <w:r>
        <w:rPr>
          <w:rFonts w:ascii="宋体" w:hAnsi="宋体" w:cs="宋体"/>
        </w:rPr>
        <w:t>矿料级 配要求</w:t>
      </w:r>
      <w:r>
        <w:rPr>
          <w:rFonts w:ascii="宋体" w:hAnsi="宋体" w:cs="宋体"/>
          <w:spacing w:val="-8"/>
        </w:rPr>
        <w:t>、</w:t>
      </w:r>
      <w:r>
        <w:rPr>
          <w:rFonts w:ascii="宋体" w:hAnsi="宋体" w:cs="宋体"/>
        </w:rPr>
        <w:t>配合比设计要求等</w:t>
      </w:r>
      <w:r>
        <w:rPr>
          <w:rFonts w:ascii="宋体" w:hAnsi="宋体" w:cs="宋体"/>
          <w:spacing w:val="-8"/>
        </w:rPr>
        <w:t>。</w:t>
      </w:r>
      <w:r>
        <w:rPr>
          <w:rFonts w:ascii="宋体" w:hAnsi="宋体" w:cs="宋体"/>
        </w:rPr>
        <w:t>旧路材料再生应符合</w:t>
      </w:r>
      <w:r>
        <w:rPr>
          <w:rFonts w:ascii="宋体" w:hAnsi="宋体" w:cs="宋体"/>
          <w:spacing w:val="-1"/>
        </w:rPr>
        <w:t xml:space="preserve"> </w:t>
      </w:r>
      <w:r>
        <w:rPr>
          <w:rFonts w:ascii="宋体" w:hAnsi="宋体" w:cs="宋体"/>
        </w:rPr>
        <w:t>JTG</w:t>
      </w:r>
      <w:r>
        <w:rPr>
          <w:rFonts w:ascii="宋体" w:hAnsi="宋体" w:cs="宋体"/>
          <w:spacing w:val="-1"/>
        </w:rPr>
        <w:t xml:space="preserve"> </w:t>
      </w:r>
      <w:r>
        <w:rPr>
          <w:rFonts w:ascii="宋体" w:hAnsi="宋体" w:cs="宋体"/>
        </w:rPr>
        <w:t>F41 的相关要求</w:t>
      </w:r>
      <w:r>
        <w:rPr>
          <w:rFonts w:ascii="宋体" w:hAnsi="宋体" w:cs="宋体"/>
          <w:spacing w:val="-8"/>
        </w:rPr>
        <w:t>。</w:t>
      </w:r>
    </w:p>
    <w:p w14:paraId="3B16F98E">
      <w:pPr>
        <w:spacing w:before="64" w:line="360" w:lineRule="auto"/>
        <w:ind w:firstLine="12"/>
        <w:rPr>
          <w:rFonts w:ascii="宋体" w:hAnsi="宋体" w:cs="宋体"/>
        </w:rPr>
      </w:pPr>
      <w:r>
        <w:rPr>
          <w:rFonts w:ascii="黑体" w:hAnsi="黑体" w:eastAsia="黑体" w:cs="黑体"/>
        </w:rPr>
        <w:t>10.3.3</w:t>
      </w:r>
      <w:r>
        <w:rPr>
          <w:rFonts w:ascii="黑体" w:hAnsi="黑体" w:eastAsia="黑体" w:cs="黑体"/>
          <w:spacing w:val="-1"/>
        </w:rPr>
        <w:t xml:space="preserve"> </w:t>
      </w:r>
      <w:r>
        <w:rPr>
          <w:rFonts w:ascii="黑体" w:hAnsi="黑体" w:eastAsia="黑体" w:cs="黑体"/>
        </w:rPr>
        <w:t xml:space="preserve"> </w:t>
      </w:r>
      <w:r>
        <w:rPr>
          <w:rFonts w:ascii="宋体" w:hAnsi="宋体" w:cs="宋体"/>
        </w:rPr>
        <w:t>按照 JTG F40 和 JTG F41 等的相关规定</w:t>
      </w:r>
      <w:r>
        <w:rPr>
          <w:rFonts w:ascii="宋体" w:hAnsi="宋体" w:cs="宋体"/>
          <w:spacing w:val="-71"/>
        </w:rPr>
        <w:t>，</w:t>
      </w:r>
      <w:r>
        <w:rPr>
          <w:rFonts w:ascii="宋体" w:hAnsi="宋体" w:cs="宋体"/>
        </w:rPr>
        <w:t>明确各结构层材料的施工工艺要求</w:t>
      </w:r>
      <w:r>
        <w:rPr>
          <w:rFonts w:ascii="宋体" w:hAnsi="宋体" w:cs="宋体"/>
          <w:spacing w:val="-71"/>
        </w:rPr>
        <w:t>。</w:t>
      </w:r>
    </w:p>
    <w:p w14:paraId="7D58470B">
      <w:pPr>
        <w:spacing w:before="64" w:line="360" w:lineRule="auto"/>
        <w:ind w:firstLine="12"/>
        <w:rPr>
          <w:rFonts w:ascii="宋体" w:hAnsi="宋体" w:cs="宋体"/>
        </w:rPr>
      </w:pPr>
      <w:r>
        <w:rPr>
          <w:rFonts w:ascii="黑体" w:hAnsi="黑体" w:eastAsia="黑体" w:cs="黑体"/>
        </w:rPr>
        <w:t>10.3.4</w:t>
      </w:r>
      <w:r>
        <w:rPr>
          <w:rFonts w:ascii="黑体" w:hAnsi="黑体" w:eastAsia="黑体" w:cs="黑体"/>
          <w:spacing w:val="-1"/>
        </w:rPr>
        <w:t xml:space="preserve">  </w:t>
      </w:r>
      <w:r>
        <w:rPr>
          <w:rFonts w:ascii="宋体" w:hAnsi="宋体" w:cs="宋体"/>
        </w:rPr>
        <w:t>当路面内部渗水成流动状态时</w:t>
      </w:r>
      <w:r>
        <w:rPr>
          <w:rFonts w:ascii="宋体" w:hAnsi="宋体" w:cs="宋体"/>
          <w:spacing w:val="-9"/>
        </w:rPr>
        <w:t>，</w:t>
      </w:r>
      <w:r>
        <w:rPr>
          <w:rFonts w:ascii="宋体" w:hAnsi="宋体" w:cs="宋体"/>
        </w:rPr>
        <w:t>应采取疏通管道</w:t>
      </w:r>
      <w:r>
        <w:rPr>
          <w:rFonts w:ascii="宋体" w:hAnsi="宋体" w:cs="宋体"/>
          <w:spacing w:val="-9"/>
        </w:rPr>
        <w:t>、</w:t>
      </w:r>
      <w:r>
        <w:rPr>
          <w:rFonts w:ascii="宋体" w:hAnsi="宋体" w:cs="宋体"/>
        </w:rPr>
        <w:t>设置盲沟</w:t>
      </w:r>
      <w:r>
        <w:rPr>
          <w:rFonts w:ascii="宋体" w:hAnsi="宋体" w:cs="宋体"/>
          <w:spacing w:val="-9"/>
        </w:rPr>
        <w:t>、</w:t>
      </w:r>
      <w:r>
        <w:rPr>
          <w:rFonts w:ascii="宋体" w:hAnsi="宋体" w:cs="宋体"/>
        </w:rPr>
        <w:t>渗井或隔水层等处理措施</w:t>
      </w:r>
      <w:r>
        <w:rPr>
          <w:rFonts w:ascii="宋体" w:hAnsi="宋体" w:cs="宋体"/>
          <w:spacing w:val="-9"/>
        </w:rPr>
        <w:t>。</w:t>
      </w:r>
    </w:p>
    <w:p w14:paraId="2DAB1FE1">
      <w:pPr>
        <w:spacing w:before="63" w:line="360" w:lineRule="auto"/>
        <w:ind w:firstLine="12"/>
        <w:rPr>
          <w:rFonts w:ascii="宋体" w:hAnsi="宋体" w:cs="宋体"/>
        </w:rPr>
      </w:pPr>
      <w:r>
        <w:rPr>
          <w:rFonts w:ascii="黑体" w:hAnsi="黑体" w:eastAsia="黑体" w:cs="黑体"/>
        </w:rPr>
        <w:t>10.3.5</w:t>
      </w:r>
      <w:r>
        <w:rPr>
          <w:rFonts w:ascii="黑体" w:hAnsi="黑体" w:eastAsia="黑体" w:cs="黑体"/>
          <w:spacing w:val="-1"/>
        </w:rPr>
        <w:t xml:space="preserve">  </w:t>
      </w:r>
      <w:r>
        <w:rPr>
          <w:rFonts w:ascii="宋体" w:hAnsi="宋体" w:cs="宋体"/>
        </w:rPr>
        <w:t>因养护导致标线</w:t>
      </w:r>
      <w:r>
        <w:rPr>
          <w:rFonts w:ascii="宋体" w:hAnsi="宋体" w:cs="宋体"/>
          <w:spacing w:val="-13"/>
        </w:rPr>
        <w:t>、</w:t>
      </w:r>
      <w:r>
        <w:rPr>
          <w:rFonts w:ascii="宋体" w:hAnsi="宋体" w:cs="宋体"/>
        </w:rPr>
        <w:t>护栏等不符合规范要求时</w:t>
      </w:r>
      <w:r>
        <w:rPr>
          <w:rFonts w:ascii="宋体" w:hAnsi="宋体" w:cs="宋体"/>
          <w:spacing w:val="-13"/>
        </w:rPr>
        <w:t>，</w:t>
      </w:r>
      <w:r>
        <w:rPr>
          <w:rFonts w:ascii="宋体" w:hAnsi="宋体" w:cs="宋体"/>
        </w:rPr>
        <w:t>应进行改造设计</w:t>
      </w:r>
      <w:r>
        <w:rPr>
          <w:rFonts w:ascii="宋体" w:hAnsi="宋体" w:cs="宋体"/>
          <w:spacing w:val="-13"/>
        </w:rPr>
        <w:t>。</w:t>
      </w:r>
    </w:p>
    <w:p w14:paraId="797EAC92">
      <w:pPr>
        <w:pStyle w:val="56"/>
        <w:spacing w:line="360" w:lineRule="auto"/>
        <w:ind w:firstLine="0" w:firstLineChars="0"/>
        <w:rPr>
          <w:rFonts w:hAnsi="宋体" w:cs="宋体"/>
          <w:spacing w:val="-78"/>
          <w:szCs w:val="21"/>
        </w:rPr>
      </w:pPr>
      <w:r>
        <w:rPr>
          <w:rFonts w:ascii="黑体" w:hAnsi="黑体" w:eastAsia="黑体" w:cs="黑体"/>
          <w:szCs w:val="21"/>
        </w:rPr>
        <w:t xml:space="preserve">10.3.6  </w:t>
      </w:r>
      <w:r>
        <w:rPr>
          <w:rFonts w:hint="eastAsia" w:ascii="宋体" w:hAnsi="宋体" w:eastAsia="宋体" w:cs="宋体"/>
          <w:kern w:val="2"/>
          <w:sz w:val="21"/>
          <w:szCs w:val="21"/>
          <w:lang w:val="en-US" w:eastAsia="zh-CN" w:bidi="ar-SA"/>
        </w:rPr>
        <w:t>施工图</w:t>
      </w:r>
      <w:r>
        <w:rPr>
          <w:rFonts w:ascii="宋体" w:hAnsi="宋体" w:eastAsia="宋体" w:cs="宋体"/>
          <w:kern w:val="2"/>
          <w:sz w:val="21"/>
          <w:szCs w:val="21"/>
          <w:lang w:val="en-US" w:eastAsia="zh-CN" w:bidi="ar-SA"/>
        </w:rPr>
        <w:t>设</w:t>
      </w:r>
      <w:r>
        <w:rPr>
          <w:rFonts w:hAnsi="宋体" w:cs="宋体"/>
          <w:szCs w:val="21"/>
        </w:rPr>
        <w:t>计文件组成参照附录 B</w:t>
      </w:r>
      <w:r>
        <w:rPr>
          <w:rFonts w:hAnsi="宋体" w:cs="宋体"/>
          <w:spacing w:val="-78"/>
          <w:szCs w:val="21"/>
        </w:rPr>
        <w:t>。</w:t>
      </w:r>
    </w:p>
    <w:p w14:paraId="1C351649">
      <w:pPr>
        <w:pStyle w:val="231"/>
        <w:numPr>
          <w:ilvl w:val="0"/>
          <w:numId w:val="0"/>
        </w:numPr>
        <w:spacing w:before="216" w:line="219" w:lineRule="auto"/>
        <w:ind w:leftChars="0"/>
        <w:rPr>
          <w:rFonts w:ascii="黑体" w:hAnsi="黑体" w:eastAsia="黑体" w:cs="黑体"/>
        </w:rPr>
      </w:pPr>
      <w:r>
        <w:rPr>
          <w:rFonts w:hint="eastAsia" w:ascii="黑体" w:hAnsi="黑体" w:eastAsia="黑体" w:cs="黑体"/>
          <w:spacing w:val="-4"/>
          <w:lang w:val="en-US" w:eastAsia="zh-CN"/>
        </w:rPr>
        <w:t>10.4</w:t>
      </w:r>
      <w:r>
        <w:rPr>
          <w:rFonts w:ascii="黑体" w:hAnsi="黑体" w:eastAsia="黑体" w:cs="黑体"/>
          <w:spacing w:val="-4"/>
        </w:rPr>
        <w:t xml:space="preserve">  </w:t>
      </w:r>
      <w:r>
        <w:rPr>
          <w:rFonts w:hint="eastAsia" w:ascii="黑体" w:hAnsi="黑体" w:eastAsia="黑体" w:cs="黑体"/>
        </w:rPr>
        <w:t>动态设计</w:t>
      </w:r>
    </w:p>
    <w:p w14:paraId="33530C35">
      <w:pPr>
        <w:pStyle w:val="65"/>
        <w:numPr>
          <w:ilvl w:val="0"/>
          <w:numId w:val="0"/>
        </w:numPr>
        <w:spacing w:before="156" w:after="156"/>
      </w:pPr>
      <w:r>
        <w:t>10.</w:t>
      </w:r>
      <w:r>
        <w:rPr>
          <w:rFonts w:hint="eastAsia"/>
          <w:lang w:val="en-US" w:eastAsia="zh-CN"/>
        </w:rPr>
        <w:t>4</w:t>
      </w:r>
      <w:r>
        <w:t>.1</w:t>
      </w:r>
      <w:r>
        <w:rPr>
          <w:rFonts w:hint="eastAsia"/>
        </w:rPr>
        <w:t>通过“路面三次</w:t>
      </w:r>
      <w:r>
        <w:rPr>
          <w:rFonts w:hint="eastAsia"/>
          <w:lang w:val="en-US" w:eastAsia="zh-CN"/>
        </w:rPr>
        <w:t>方案</w:t>
      </w:r>
      <w:r>
        <w:rPr>
          <w:rFonts w:hint="eastAsia"/>
        </w:rPr>
        <w:t>确认法”确定路面的最终养护方案。</w:t>
      </w:r>
    </w:p>
    <w:p w14:paraId="4A1AEF2E">
      <w:pPr>
        <w:pStyle w:val="65"/>
        <w:numPr>
          <w:ilvl w:val="0"/>
          <w:numId w:val="0"/>
        </w:numPr>
        <w:spacing w:before="156" w:after="156"/>
      </w:pPr>
      <w:r>
        <w:rPr>
          <w:rFonts w:hint="eastAsia"/>
        </w:rPr>
        <w:t>10</w:t>
      </w:r>
      <w:r>
        <w:t>.</w:t>
      </w:r>
      <w:r>
        <w:rPr>
          <w:rFonts w:hint="eastAsia"/>
          <w:lang w:val="en-US" w:eastAsia="zh-CN"/>
        </w:rPr>
        <w:t>4</w:t>
      </w:r>
      <w:r>
        <w:t>.1.1</w:t>
      </w:r>
      <w:r>
        <w:rPr>
          <w:rFonts w:hint="eastAsia"/>
        </w:rPr>
        <w:t>第一次</w:t>
      </w:r>
      <w:r>
        <w:rPr>
          <w:rFonts w:hint="eastAsia"/>
          <w:lang w:val="en-US" w:eastAsia="zh-CN"/>
        </w:rPr>
        <w:t>方案</w:t>
      </w:r>
      <w:r>
        <w:rPr>
          <w:rFonts w:hint="eastAsia"/>
        </w:rPr>
        <w:t>确认</w:t>
      </w:r>
    </w:p>
    <w:p w14:paraId="63C1FF02">
      <w:pPr>
        <w:widowControl/>
        <w:kinsoku w:val="0"/>
        <w:autoSpaceDE w:val="0"/>
        <w:autoSpaceDN w:val="0"/>
        <w:snapToGrid w:val="0"/>
        <w:spacing w:line="360" w:lineRule="auto"/>
        <w:ind w:firstLine="420" w:firstLineChars="200"/>
        <w:textAlignment w:val="baseline"/>
        <w:rPr>
          <w:rFonts w:ascii="Arial"/>
        </w:rPr>
      </w:pPr>
      <w:r>
        <w:rPr>
          <w:rFonts w:hint="eastAsia" w:ascii="Arial"/>
        </w:rPr>
        <w:t>在养护方案设计之前，通过路况巡查、路面检测等技术手段，对路面状况进行的详细调查和病害分析诊断，为养护维修方案设计提供依据。</w:t>
      </w:r>
    </w:p>
    <w:p w14:paraId="7291B2E1">
      <w:pPr>
        <w:pStyle w:val="65"/>
        <w:numPr>
          <w:ilvl w:val="0"/>
          <w:numId w:val="0"/>
        </w:numPr>
        <w:spacing w:before="156" w:after="156" w:line="360" w:lineRule="auto"/>
      </w:pPr>
      <w:r>
        <w:rPr>
          <w:rFonts w:hint="eastAsia"/>
        </w:rPr>
        <w:t>10</w:t>
      </w:r>
      <w:r>
        <w:t>.</w:t>
      </w:r>
      <w:r>
        <w:rPr>
          <w:rFonts w:hint="eastAsia"/>
          <w:lang w:val="en-US" w:eastAsia="zh-CN"/>
        </w:rPr>
        <w:t>4</w:t>
      </w:r>
      <w:r>
        <w:t>.1.2</w:t>
      </w:r>
      <w:r>
        <w:rPr>
          <w:rFonts w:hint="eastAsia"/>
        </w:rPr>
        <w:t>第二次</w:t>
      </w:r>
      <w:r>
        <w:rPr>
          <w:rFonts w:hint="eastAsia"/>
          <w:lang w:val="en-US" w:eastAsia="zh-CN"/>
        </w:rPr>
        <w:t>方案</w:t>
      </w:r>
      <w:r>
        <w:rPr>
          <w:rFonts w:hint="eastAsia"/>
        </w:rPr>
        <w:t>确认</w:t>
      </w:r>
    </w:p>
    <w:p w14:paraId="18C5CBFE">
      <w:pPr>
        <w:pStyle w:val="56"/>
        <w:spacing w:line="360" w:lineRule="auto"/>
        <w:ind w:firstLine="420"/>
      </w:pPr>
      <w:r>
        <w:rPr>
          <w:rFonts w:hint="eastAsia"/>
        </w:rPr>
        <w:t>在方案设计/施工图设计（如有）阶段，由养护管理单位和设计单位（如有）联合再次对养护实施段落的病害进行调查确认，确定详细养护方案及预算编制。</w:t>
      </w:r>
    </w:p>
    <w:p w14:paraId="0C03AE32">
      <w:pPr>
        <w:pStyle w:val="65"/>
        <w:numPr>
          <w:ilvl w:val="0"/>
          <w:numId w:val="0"/>
        </w:numPr>
        <w:spacing w:before="156" w:after="156" w:line="360" w:lineRule="auto"/>
      </w:pPr>
      <w:r>
        <w:rPr>
          <w:rFonts w:hint="eastAsia"/>
        </w:rPr>
        <w:t>10</w:t>
      </w:r>
      <w:r>
        <w:t>.3.1.3</w:t>
      </w:r>
      <w:r>
        <w:rPr>
          <w:rFonts w:hint="eastAsia"/>
        </w:rPr>
        <w:t>第三次</w:t>
      </w:r>
      <w:r>
        <w:rPr>
          <w:rFonts w:hint="eastAsia"/>
          <w:lang w:val="en-US" w:eastAsia="zh-CN"/>
        </w:rPr>
        <w:t>方案</w:t>
      </w:r>
      <w:r>
        <w:rPr>
          <w:rFonts w:hint="eastAsia"/>
        </w:rPr>
        <w:t>确认</w:t>
      </w:r>
    </w:p>
    <w:p w14:paraId="69B39E2D">
      <w:pPr>
        <w:pStyle w:val="56"/>
        <w:spacing w:line="360" w:lineRule="auto"/>
        <w:ind w:firstLine="420"/>
      </w:pPr>
      <w:r>
        <w:rPr>
          <w:rFonts w:hint="eastAsia"/>
        </w:rPr>
        <w:t>养护段落在封闭后、施工前，对路面状况进行再次调查，验证设计养护技术方案的可靠性与合理性。预防养护在路面铣刨过程中，及时、认真观察重点路段、严重病害铣刨层位和病害程度，验证结构内部病害确认的可靠性及维修方案的合理性。</w:t>
      </w:r>
    </w:p>
    <w:p w14:paraId="7C329B5E">
      <w:pPr>
        <w:pStyle w:val="65"/>
        <w:numPr>
          <w:ilvl w:val="0"/>
          <w:numId w:val="0"/>
        </w:numPr>
        <w:spacing w:before="156" w:after="156"/>
        <w:rPr>
          <w:rFonts w:hint="eastAsia" w:ascii="宋体" w:hAnsi="Times New Roman" w:eastAsia="宋体" w:cs="Times New Roman"/>
          <w:sz w:val="21"/>
          <w:lang w:val="en-US" w:eastAsia="zh-CN" w:bidi="ar-SA"/>
        </w:rPr>
      </w:pPr>
      <w:r>
        <w:rPr>
          <w:rFonts w:hint="eastAsia"/>
        </w:rPr>
        <w:t>10</w:t>
      </w:r>
      <w:r>
        <w:t>.</w:t>
      </w:r>
      <w:r>
        <w:rPr>
          <w:rFonts w:hint="eastAsia"/>
          <w:lang w:val="en-US" w:eastAsia="zh-CN"/>
        </w:rPr>
        <w:t>4</w:t>
      </w:r>
      <w:r>
        <w:t>.2</w:t>
      </w:r>
      <w:r>
        <w:rPr>
          <w:rFonts w:hint="eastAsia"/>
          <w:lang w:val="en-US" w:eastAsia="zh-CN"/>
        </w:rPr>
        <w:t xml:space="preserve"> </w:t>
      </w:r>
      <w:r>
        <w:rPr>
          <w:rFonts w:hint="eastAsia" w:ascii="宋体" w:hAnsi="Times New Roman" w:eastAsia="宋体" w:cs="Times New Roman"/>
          <w:sz w:val="21"/>
          <w:lang w:val="en-US" w:eastAsia="zh-CN" w:bidi="ar-SA"/>
        </w:rPr>
        <w:t>养护方案动态设计主要是通过第二次至第三次方案确认确定最终的养护实施方案。</w:t>
      </w:r>
    </w:p>
    <w:p w14:paraId="0FE6D177">
      <w:pPr>
        <w:pStyle w:val="56"/>
        <w:ind w:firstLine="420"/>
      </w:pPr>
    </w:p>
    <w:p w14:paraId="3327DF3E">
      <w:pPr>
        <w:pStyle w:val="56"/>
        <w:ind w:firstLine="420"/>
      </w:pPr>
    </w:p>
    <w:p w14:paraId="6B7EF2E8">
      <w:pPr>
        <w:pStyle w:val="56"/>
        <w:ind w:firstLine="420"/>
      </w:pPr>
    </w:p>
    <w:p w14:paraId="75CC8C2D">
      <w:pPr>
        <w:pStyle w:val="56"/>
        <w:ind w:firstLine="420"/>
      </w:pPr>
    </w:p>
    <w:p w14:paraId="0B7CD95B">
      <w:pPr>
        <w:pStyle w:val="56"/>
        <w:ind w:firstLine="420"/>
        <w:sectPr>
          <w:pgSz w:w="11906" w:h="16838"/>
          <w:pgMar w:top="1928" w:right="1134" w:bottom="1134" w:left="1134" w:header="1418" w:footer="1134" w:gutter="284"/>
          <w:pgNumType w:start="1"/>
          <w:cols w:space="425" w:num="1"/>
          <w:formProt w:val="0"/>
          <w:docGrid w:type="lines" w:linePitch="312" w:charSpace="0"/>
        </w:sectPr>
      </w:pPr>
      <w:r>
        <w:rPr>
          <w:rFonts w:hint="eastAsia"/>
          <w:lang w:val="en-US" w:eastAsia="zh-CN"/>
        </w:rPr>
        <w:t xml:space="preserve">                        </w:t>
      </w:r>
    </w:p>
    <w:bookmarkEnd w:id="24"/>
    <w:p w14:paraId="0DDD5FB2">
      <w:pPr>
        <w:pStyle w:val="198"/>
        <w:rPr>
          <w:vanish w:val="0"/>
        </w:rPr>
      </w:pPr>
      <w:bookmarkStart w:id="78" w:name="BookMark5"/>
    </w:p>
    <w:p w14:paraId="48D1E2C1">
      <w:pPr>
        <w:pStyle w:val="199"/>
        <w:rPr>
          <w:vanish w:val="0"/>
        </w:rPr>
      </w:pPr>
    </w:p>
    <w:p w14:paraId="3B6FF83E">
      <w:pPr>
        <w:pStyle w:val="76"/>
        <w:spacing w:after="156"/>
      </w:pPr>
      <w:r>
        <w:br w:type="textWrapping"/>
      </w:r>
      <w:bookmarkStart w:id="79" w:name="_Toc180078192"/>
      <w:r>
        <w:rPr>
          <w:rFonts w:hint="eastAsia"/>
        </w:rPr>
        <w:t>（资料性）</w:t>
      </w:r>
      <w:r>
        <w:br w:type="textWrapping"/>
      </w:r>
      <w:r>
        <w:rPr>
          <w:rFonts w:hint="eastAsia"/>
        </w:rPr>
        <w:t>方案设计文件组成</w:t>
      </w:r>
      <w:bookmarkEnd w:id="79"/>
    </w:p>
    <w:p w14:paraId="26A63DAE">
      <w:pPr>
        <w:pStyle w:val="78"/>
        <w:spacing w:before="156" w:after="156"/>
      </w:pPr>
      <w:bookmarkStart w:id="80" w:name="_Toc180078193"/>
      <w:r>
        <w:rPr>
          <w:rFonts w:hint="eastAsia"/>
        </w:rPr>
        <w:t>设计</w:t>
      </w:r>
      <w:r>
        <w:t>说明</w:t>
      </w:r>
      <w:bookmarkEnd w:id="80"/>
    </w:p>
    <w:p w14:paraId="2DCDB89B">
      <w:pPr>
        <w:pStyle w:val="79"/>
        <w:spacing w:before="156" w:after="156"/>
      </w:pPr>
      <w:r>
        <w:rPr>
          <w:rFonts w:hint="eastAsia"/>
        </w:rPr>
        <w:t>项目</w:t>
      </w:r>
      <w:r>
        <w:t>概述</w:t>
      </w:r>
    </w:p>
    <w:p w14:paraId="78CA7CFE">
      <w:pPr>
        <w:pStyle w:val="56"/>
        <w:ind w:firstLine="420"/>
      </w:pPr>
      <w:r>
        <w:t>项目概述应包括以下内容</w:t>
      </w:r>
      <w:r>
        <w:rPr>
          <w:spacing w:val="-37"/>
        </w:rPr>
        <w:t>：</w:t>
      </w:r>
    </w:p>
    <w:p w14:paraId="7E5A14AB">
      <w:pPr>
        <w:pStyle w:val="56"/>
        <w:ind w:firstLine="420"/>
      </w:pPr>
      <w:r>
        <w:t>——项目背景（说明项目所在的地理位置</w:t>
      </w:r>
      <w:r>
        <w:rPr>
          <w:spacing w:val="-51"/>
        </w:rPr>
        <w:t>、</w:t>
      </w:r>
      <w:r>
        <w:t>通车时间及路面状况等基本情况</w:t>
      </w:r>
      <w:r>
        <w:rPr>
          <w:spacing w:val="-51"/>
        </w:rPr>
        <w:t>）</w:t>
      </w:r>
      <w:r>
        <w:rPr>
          <w:spacing w:val="-50"/>
        </w:rPr>
        <w:t>；</w:t>
      </w:r>
      <w:r>
        <w:t xml:space="preserve"> </w:t>
      </w:r>
    </w:p>
    <w:p w14:paraId="41F85507">
      <w:pPr>
        <w:pStyle w:val="56"/>
        <w:ind w:firstLine="420"/>
      </w:pPr>
      <w:r>
        <w:t>——项目路段（简要说明项目路段位置桩号及原设计标准等</w:t>
      </w:r>
      <w:r>
        <w:rPr>
          <w:spacing w:val="-61"/>
        </w:rPr>
        <w:t>）</w:t>
      </w:r>
      <w:r>
        <w:rPr>
          <w:spacing w:val="-60"/>
        </w:rPr>
        <w:t>；</w:t>
      </w:r>
    </w:p>
    <w:p w14:paraId="700B0EA5">
      <w:pPr>
        <w:pStyle w:val="56"/>
        <w:ind w:firstLine="420"/>
      </w:pPr>
      <w:r>
        <w:t>——基础资料（简要说明调查的内容和方法</w:t>
      </w:r>
      <w:r>
        <w:rPr>
          <w:spacing w:val="-51"/>
        </w:rPr>
        <w:t>、</w:t>
      </w:r>
      <w:r>
        <w:t>沿线水文地质和气候及养护历史状况等</w:t>
      </w:r>
      <w:r>
        <w:rPr>
          <w:spacing w:val="-51"/>
        </w:rPr>
        <w:t>）</w:t>
      </w:r>
      <w:r>
        <w:rPr>
          <w:spacing w:val="-50"/>
        </w:rPr>
        <w:t>；</w:t>
      </w:r>
      <w:r>
        <w:t xml:space="preserve"> </w:t>
      </w:r>
    </w:p>
    <w:p w14:paraId="74CFAED3">
      <w:pPr>
        <w:pStyle w:val="56"/>
        <w:ind w:firstLine="420"/>
        <w:rPr>
          <w:spacing w:val="-40"/>
        </w:rPr>
      </w:pPr>
      <w:r>
        <w:t>——交通量调查（应包括各断面交通量</w:t>
      </w:r>
      <w:r>
        <w:rPr>
          <w:spacing w:val="-40"/>
        </w:rPr>
        <w:t>、</w:t>
      </w:r>
      <w:r>
        <w:t>货车比例及交通量变化趋势等</w:t>
      </w:r>
      <w:r>
        <w:rPr>
          <w:spacing w:val="-40"/>
        </w:rPr>
        <w:t>）。</w:t>
      </w:r>
    </w:p>
    <w:p w14:paraId="0E55CB2B">
      <w:pPr>
        <w:pStyle w:val="79"/>
        <w:spacing w:before="156" w:after="156"/>
        <w:rPr>
          <w:rFonts w:hAnsi="黑体" w:cs="黑体"/>
          <w:szCs w:val="21"/>
        </w:rPr>
      </w:pPr>
      <w:r>
        <w:rPr>
          <w:rFonts w:hAnsi="黑体" w:cs="黑体"/>
          <w:szCs w:val="21"/>
        </w:rPr>
        <w:t>路面技术状况检测与分析</w:t>
      </w:r>
    </w:p>
    <w:p w14:paraId="4FED1E16">
      <w:pPr>
        <w:pStyle w:val="56"/>
        <w:ind w:firstLine="420"/>
      </w:pPr>
      <w:r>
        <w:t>路面技术状况检测与分析应包括以下内容</w:t>
      </w:r>
      <w:r>
        <w:rPr>
          <w:spacing w:val="-30"/>
        </w:rPr>
        <w:t>：</w:t>
      </w:r>
    </w:p>
    <w:p w14:paraId="2E476496">
      <w:pPr>
        <w:pStyle w:val="56"/>
        <w:ind w:firstLine="420"/>
      </w:pPr>
      <w:r>
        <w:t>——路面破损状况检测与分析</w:t>
      </w:r>
      <w:r>
        <w:rPr>
          <w:spacing w:val="-30"/>
        </w:rPr>
        <w:t>；</w:t>
      </w:r>
    </w:p>
    <w:p w14:paraId="65313C7B">
      <w:pPr>
        <w:pStyle w:val="56"/>
        <w:ind w:firstLine="424"/>
      </w:pPr>
      <w:r>
        <w:rPr>
          <w:spacing w:val="1"/>
        </w:rPr>
        <w:t>——</w:t>
      </w:r>
      <w:r>
        <w:t>路面行驶质量状况检测与分析</w:t>
      </w:r>
      <w:r>
        <w:rPr>
          <w:spacing w:val="1"/>
        </w:rPr>
        <w:t>；</w:t>
      </w:r>
    </w:p>
    <w:p w14:paraId="5A9131C0">
      <w:pPr>
        <w:pStyle w:val="56"/>
        <w:ind w:firstLine="420"/>
      </w:pPr>
      <w:r>
        <w:t>——路面车辙状况检测与分析</w:t>
      </w:r>
      <w:r>
        <w:rPr>
          <w:spacing w:val="-30"/>
        </w:rPr>
        <w:t>；</w:t>
      </w:r>
    </w:p>
    <w:p w14:paraId="2D44B11E">
      <w:pPr>
        <w:pStyle w:val="56"/>
        <w:ind w:firstLine="420"/>
      </w:pPr>
      <w:r>
        <w:t>——路面抗滑状况检测与分析</w:t>
      </w:r>
      <w:r>
        <w:rPr>
          <w:spacing w:val="-30"/>
        </w:rPr>
        <w:t>；</w:t>
      </w:r>
    </w:p>
    <w:p w14:paraId="759C758E">
      <w:pPr>
        <w:pStyle w:val="56"/>
        <w:ind w:firstLine="420"/>
        <w:rPr>
          <w:spacing w:val="-18"/>
        </w:rPr>
      </w:pPr>
      <w:r>
        <w:t>——路面结构强度检测与分析</w:t>
      </w:r>
      <w:r>
        <w:rPr>
          <w:spacing w:val="-18"/>
        </w:rPr>
        <w:t>。</w:t>
      </w:r>
    </w:p>
    <w:p w14:paraId="76E279DE">
      <w:pPr>
        <w:pStyle w:val="79"/>
        <w:spacing w:before="156" w:after="156"/>
        <w:rPr>
          <w:rFonts w:hAnsi="黑体" w:cs="黑体"/>
          <w:szCs w:val="21"/>
        </w:rPr>
      </w:pPr>
      <w:r>
        <w:rPr>
          <w:rFonts w:hAnsi="黑体" w:cs="黑体"/>
          <w:szCs w:val="21"/>
        </w:rPr>
        <w:t>养护方案设计</w:t>
      </w:r>
    </w:p>
    <w:p w14:paraId="12D2B342">
      <w:pPr>
        <w:pStyle w:val="56"/>
        <w:ind w:firstLine="420"/>
      </w:pPr>
      <w:r>
        <w:t>养护方案设计应包括以下内容</w:t>
      </w:r>
      <w:r>
        <w:rPr>
          <w:spacing w:val="-2"/>
        </w:rPr>
        <w:t>：</w:t>
      </w:r>
    </w:p>
    <w:p w14:paraId="0CFC23AC">
      <w:pPr>
        <w:pStyle w:val="56"/>
        <w:ind w:firstLine="420"/>
      </w:pPr>
      <w:r>
        <w:t>——设计路段现状（说明病害类型</w:t>
      </w:r>
      <w:r>
        <w:rPr>
          <w:spacing w:val="-25"/>
        </w:rPr>
        <w:t>、</w:t>
      </w:r>
      <w:r>
        <w:t>严重程度</w:t>
      </w:r>
      <w:r>
        <w:rPr>
          <w:spacing w:val="-25"/>
        </w:rPr>
        <w:t>、</w:t>
      </w:r>
      <w:r>
        <w:t>分布情况等</w:t>
      </w:r>
      <w:r>
        <w:rPr>
          <w:spacing w:val="-24"/>
        </w:rPr>
        <w:t>，</w:t>
      </w:r>
      <w:r>
        <w:rPr>
          <w:spacing w:val="-105"/>
        </w:rPr>
        <w:t xml:space="preserve"> </w:t>
      </w:r>
      <w:r>
        <w:t>应附主要</w:t>
      </w:r>
      <w:r>
        <w:rPr>
          <w:spacing w:val="-24"/>
        </w:rPr>
        <w:t>、</w:t>
      </w:r>
      <w:r>
        <w:t>特殊病害照片及必要的芯 样照片</w:t>
      </w:r>
      <w:r>
        <w:rPr>
          <w:spacing w:val="-21"/>
        </w:rPr>
        <w:t>）；</w:t>
      </w:r>
    </w:p>
    <w:p w14:paraId="1730AFD8">
      <w:pPr>
        <w:pStyle w:val="56"/>
        <w:ind w:firstLine="420"/>
      </w:pPr>
      <w:r>
        <w:t>——病害成因分析（通过基础资料分析</w:t>
      </w:r>
      <w:r>
        <w:rPr>
          <w:spacing w:val="-52"/>
        </w:rPr>
        <w:t>、</w:t>
      </w:r>
      <w:r>
        <w:t>路面技术状况检测与分析及病害专项检测与分析</w:t>
      </w:r>
      <w:r>
        <w:rPr>
          <w:spacing w:val="-51"/>
        </w:rPr>
        <w:t>，</w:t>
      </w:r>
      <w:r>
        <w:rPr>
          <w:spacing w:val="-105"/>
        </w:rPr>
        <w:t xml:space="preserve"> </w:t>
      </w:r>
      <w:r>
        <w:t>判定主 要病害成因</w:t>
      </w:r>
      <w:r>
        <w:rPr>
          <w:spacing w:val="-15"/>
        </w:rPr>
        <w:t>）</w:t>
      </w:r>
      <w:r>
        <w:rPr>
          <w:spacing w:val="-14"/>
        </w:rPr>
        <w:t>；</w:t>
      </w:r>
    </w:p>
    <w:p w14:paraId="6D9A7C2D">
      <w:pPr>
        <w:pStyle w:val="56"/>
        <w:ind w:firstLine="420"/>
      </w:pPr>
      <w:r>
        <w:t>——养护设计方案（以设计对象为单位</w:t>
      </w:r>
      <w:r>
        <w:rPr>
          <w:spacing w:val="-51"/>
        </w:rPr>
        <w:t>，</w:t>
      </w:r>
      <w:r>
        <w:rPr>
          <w:spacing w:val="-105"/>
        </w:rPr>
        <w:t xml:space="preserve"> </w:t>
      </w:r>
      <w:r>
        <w:t>结合设计路段病害现状及产生原因</w:t>
      </w:r>
      <w:r>
        <w:rPr>
          <w:spacing w:val="-51"/>
        </w:rPr>
        <w:t>，</w:t>
      </w:r>
      <w:r>
        <w:rPr>
          <w:spacing w:val="-105"/>
        </w:rPr>
        <w:t xml:space="preserve"> </w:t>
      </w:r>
      <w:r>
        <w:t>提出不同设计对象的 养护设计方案</w:t>
      </w:r>
      <w:r>
        <w:rPr>
          <w:spacing w:val="-8"/>
        </w:rPr>
        <w:t>。</w:t>
      </w:r>
      <w:r>
        <w:t>方案应说明对铣刨</w:t>
      </w:r>
      <w:r>
        <w:rPr>
          <w:spacing w:val="-7"/>
        </w:rPr>
        <w:t>、</w:t>
      </w:r>
      <w:r>
        <w:t>挖除的路面材料的处理方法</w:t>
      </w:r>
      <w:r>
        <w:rPr>
          <w:spacing w:val="-7"/>
        </w:rPr>
        <w:t>）；</w:t>
      </w:r>
    </w:p>
    <w:p w14:paraId="3B769A0E">
      <w:pPr>
        <w:pStyle w:val="56"/>
        <w:ind w:firstLine="420"/>
        <w:rPr>
          <w:spacing w:val="-33"/>
        </w:rPr>
      </w:pPr>
      <w:r>
        <w:t>——方案比选（对于每个设计对象</w:t>
      </w:r>
      <w:r>
        <w:rPr>
          <w:spacing w:val="-33"/>
        </w:rPr>
        <w:t>，</w:t>
      </w:r>
      <w:r>
        <w:t>提出至少</w:t>
      </w:r>
      <w:r>
        <w:rPr>
          <w:spacing w:val="-1"/>
        </w:rPr>
        <w:t xml:space="preserve"> </w:t>
      </w:r>
      <w:r>
        <w:t>2 个养护设计方案进行比选</w:t>
      </w:r>
      <w:r>
        <w:rPr>
          <w:spacing w:val="-33"/>
        </w:rPr>
        <w:t>，</w:t>
      </w:r>
      <w:r>
        <w:t>并明确推荐方案</w:t>
      </w:r>
      <w:r>
        <w:rPr>
          <w:spacing w:val="-33"/>
        </w:rPr>
        <w:t>）。</w:t>
      </w:r>
    </w:p>
    <w:p w14:paraId="09AA2653">
      <w:pPr>
        <w:pStyle w:val="79"/>
        <w:spacing w:before="156" w:after="156"/>
      </w:pPr>
      <w:r>
        <w:rPr>
          <w:rFonts w:hint="eastAsia"/>
        </w:rPr>
        <w:t>交通</w:t>
      </w:r>
      <w:r>
        <w:t>组织设计</w:t>
      </w:r>
    </w:p>
    <w:p w14:paraId="2E10DE56">
      <w:pPr>
        <w:pStyle w:val="79"/>
        <w:spacing w:before="156" w:after="156"/>
      </w:pPr>
      <w:r>
        <w:rPr>
          <w:rFonts w:hint="eastAsia"/>
        </w:rPr>
        <w:t>方案</w:t>
      </w:r>
      <w:r>
        <w:t>造价估算</w:t>
      </w:r>
    </w:p>
    <w:p w14:paraId="62481C10">
      <w:pPr>
        <w:pStyle w:val="78"/>
        <w:spacing w:before="156" w:after="156"/>
      </w:pPr>
      <w:bookmarkStart w:id="81" w:name="_Toc180078194"/>
      <w:r>
        <w:rPr>
          <w:rFonts w:hint="eastAsia"/>
        </w:rPr>
        <w:t>养护</w:t>
      </w:r>
      <w:r>
        <w:t>方案设计图</w:t>
      </w:r>
      <w:bookmarkEnd w:id="81"/>
    </w:p>
    <w:p w14:paraId="4C90CDB7">
      <w:pPr>
        <w:pStyle w:val="78"/>
        <w:spacing w:before="156" w:after="156"/>
      </w:pPr>
      <w:bookmarkStart w:id="82" w:name="_Toc180078195"/>
      <w:r>
        <w:rPr>
          <w:rFonts w:hint="eastAsia"/>
        </w:rPr>
        <w:t>工程</w:t>
      </w:r>
      <w:r>
        <w:t>数量表</w:t>
      </w:r>
      <w:bookmarkEnd w:id="82"/>
    </w:p>
    <w:p w14:paraId="02BE87BD">
      <w:pPr>
        <w:pStyle w:val="56"/>
        <w:ind w:firstLine="420"/>
      </w:pPr>
      <w:r>
        <w:rPr>
          <w:rFonts w:hAnsi="宋体" w:cs="宋体"/>
          <w:szCs w:val="21"/>
        </w:rPr>
        <w:t>列出路段桩号</w:t>
      </w:r>
      <w:r>
        <w:rPr>
          <w:rFonts w:hAnsi="宋体" w:cs="宋体"/>
          <w:spacing w:val="-15"/>
          <w:szCs w:val="21"/>
        </w:rPr>
        <w:t>、</w:t>
      </w:r>
      <w:r>
        <w:rPr>
          <w:rFonts w:hAnsi="宋体" w:cs="宋体"/>
          <w:szCs w:val="21"/>
        </w:rPr>
        <w:t>幅别（上</w:t>
      </w:r>
      <w:r>
        <w:rPr>
          <w:rFonts w:hAnsi="宋体" w:cs="宋体"/>
          <w:spacing w:val="-15"/>
          <w:szCs w:val="21"/>
        </w:rPr>
        <w:t>、</w:t>
      </w:r>
      <w:r>
        <w:rPr>
          <w:rFonts w:hAnsi="宋体" w:cs="宋体"/>
          <w:szCs w:val="21"/>
        </w:rPr>
        <w:t>下行线</w:t>
      </w:r>
      <w:r>
        <w:rPr>
          <w:rFonts w:hAnsi="宋体" w:cs="宋体"/>
          <w:spacing w:val="-15"/>
          <w:szCs w:val="21"/>
        </w:rPr>
        <w:t>）、</w:t>
      </w:r>
      <w:r>
        <w:rPr>
          <w:rFonts w:hAnsi="宋体" w:cs="宋体"/>
          <w:szCs w:val="21"/>
        </w:rPr>
        <w:t>车道</w:t>
      </w:r>
      <w:r>
        <w:rPr>
          <w:rFonts w:hAnsi="宋体" w:cs="宋体"/>
          <w:spacing w:val="-15"/>
          <w:szCs w:val="21"/>
        </w:rPr>
        <w:t>、</w:t>
      </w:r>
      <w:r>
        <w:rPr>
          <w:rFonts w:hAnsi="宋体" w:cs="宋体"/>
          <w:szCs w:val="21"/>
        </w:rPr>
        <w:t>长度</w:t>
      </w:r>
      <w:r>
        <w:rPr>
          <w:rFonts w:hAnsi="宋体" w:cs="宋体"/>
          <w:spacing w:val="-15"/>
          <w:szCs w:val="21"/>
        </w:rPr>
        <w:t>、</w:t>
      </w:r>
      <w:r>
        <w:rPr>
          <w:rFonts w:hAnsi="宋体" w:cs="宋体"/>
          <w:szCs w:val="21"/>
        </w:rPr>
        <w:t>病害处治的材料名称和数量</w:t>
      </w:r>
      <w:r>
        <w:rPr>
          <w:rFonts w:hAnsi="宋体" w:cs="宋体"/>
          <w:spacing w:val="-14"/>
          <w:szCs w:val="21"/>
        </w:rPr>
        <w:t>，</w:t>
      </w:r>
      <w:r>
        <w:rPr>
          <w:rFonts w:hAnsi="宋体" w:cs="宋体"/>
          <w:szCs w:val="21"/>
        </w:rPr>
        <w:t>回填材料的名称 和数量及铣刨原路面的数量等</w:t>
      </w:r>
      <w:r>
        <w:rPr>
          <w:rFonts w:hAnsi="宋体" w:cs="宋体"/>
          <w:spacing w:val="-3"/>
          <w:szCs w:val="21"/>
        </w:rPr>
        <w:t>。</w:t>
      </w:r>
    </w:p>
    <w:p w14:paraId="42C47749">
      <w:pPr>
        <w:pStyle w:val="56"/>
        <w:ind w:firstLine="420"/>
      </w:pPr>
    </w:p>
    <w:p w14:paraId="11E3B58F">
      <w:pPr>
        <w:pStyle w:val="56"/>
        <w:ind w:firstLine="420"/>
      </w:pPr>
    </w:p>
    <w:p w14:paraId="387537D7">
      <w:pPr>
        <w:pStyle w:val="56"/>
        <w:ind w:firstLine="420"/>
        <w:sectPr>
          <w:pgSz w:w="11906" w:h="16838"/>
          <w:pgMar w:top="1928" w:right="1134" w:bottom="1134" w:left="1134" w:header="1418" w:footer="1134" w:gutter="284"/>
          <w:cols w:space="425" w:num="1"/>
          <w:formProt w:val="0"/>
          <w:docGrid w:type="lines" w:linePitch="312" w:charSpace="0"/>
        </w:sectPr>
      </w:pPr>
    </w:p>
    <w:p w14:paraId="2AF97A46">
      <w:pPr>
        <w:pStyle w:val="198"/>
        <w:rPr>
          <w:vanish w:val="0"/>
        </w:rPr>
      </w:pPr>
    </w:p>
    <w:p w14:paraId="0BE105C5">
      <w:pPr>
        <w:pStyle w:val="199"/>
        <w:rPr>
          <w:vanish w:val="0"/>
        </w:rPr>
      </w:pPr>
    </w:p>
    <w:p w14:paraId="43D30BBA">
      <w:pPr>
        <w:pStyle w:val="76"/>
        <w:spacing w:after="156"/>
      </w:pPr>
      <w:r>
        <w:br w:type="textWrapping"/>
      </w:r>
      <w:bookmarkStart w:id="83" w:name="_Toc180078196"/>
      <w:r>
        <w:rPr>
          <w:rFonts w:hint="eastAsia"/>
        </w:rPr>
        <w:t>（资料性）</w:t>
      </w:r>
      <w:r>
        <w:br w:type="textWrapping"/>
      </w:r>
      <w:r>
        <w:rPr>
          <w:rFonts w:hint="eastAsia"/>
        </w:rPr>
        <w:t>施工图设计文件组成</w:t>
      </w:r>
      <w:bookmarkEnd w:id="83"/>
    </w:p>
    <w:p w14:paraId="7AB9CA54">
      <w:pPr>
        <w:pStyle w:val="56"/>
        <w:ind w:firstLine="420"/>
      </w:pPr>
    </w:p>
    <w:p w14:paraId="32E55C23">
      <w:pPr>
        <w:pStyle w:val="78"/>
        <w:spacing w:before="156" w:after="156"/>
      </w:pPr>
      <w:bookmarkStart w:id="84" w:name="_Toc180078197"/>
      <w:r>
        <w:rPr>
          <w:rFonts w:hint="eastAsia"/>
        </w:rPr>
        <w:t>设计</w:t>
      </w:r>
      <w:r>
        <w:t>说明</w:t>
      </w:r>
      <w:bookmarkEnd w:id="84"/>
    </w:p>
    <w:p w14:paraId="66E6C3F1">
      <w:pPr>
        <w:pStyle w:val="79"/>
        <w:spacing w:before="156" w:after="156"/>
      </w:pPr>
      <w:r>
        <w:rPr>
          <w:rFonts w:hint="eastAsia"/>
        </w:rPr>
        <w:t>项目</w:t>
      </w:r>
      <w:r>
        <w:t>概述</w:t>
      </w:r>
    </w:p>
    <w:p w14:paraId="6EE9ABF3">
      <w:pPr>
        <w:pStyle w:val="56"/>
        <w:ind w:firstLine="420"/>
      </w:pPr>
      <w:r>
        <w:t>应包括以下内容</w:t>
      </w:r>
      <w:r>
        <w:rPr>
          <w:spacing w:val="-36"/>
        </w:rPr>
        <w:t>：</w:t>
      </w:r>
    </w:p>
    <w:p w14:paraId="7C0B3DD7">
      <w:pPr>
        <w:pStyle w:val="56"/>
        <w:ind w:firstLine="420"/>
        <w:rPr>
          <w:spacing w:val="-15"/>
        </w:rPr>
      </w:pPr>
      <w:r>
        <w:t>——项目背景</w:t>
      </w:r>
      <w:r>
        <w:rPr>
          <w:spacing w:val="-16"/>
        </w:rPr>
        <w:t>，</w:t>
      </w:r>
      <w:r>
        <w:rPr>
          <w:spacing w:val="-105"/>
        </w:rPr>
        <w:t xml:space="preserve"> </w:t>
      </w:r>
      <w:r>
        <w:t>包括项目所在的地理位置</w:t>
      </w:r>
      <w:r>
        <w:rPr>
          <w:spacing w:val="-16"/>
        </w:rPr>
        <w:t>、</w:t>
      </w:r>
      <w:r>
        <w:t>通车时间及路面状况等基本情况</w:t>
      </w:r>
      <w:r>
        <w:rPr>
          <w:spacing w:val="-15"/>
        </w:rPr>
        <w:t>；</w:t>
      </w:r>
    </w:p>
    <w:p w14:paraId="443D0178">
      <w:pPr>
        <w:pStyle w:val="56"/>
        <w:ind w:firstLine="420"/>
        <w:rPr>
          <w:spacing w:val="-11"/>
        </w:rPr>
      </w:pPr>
      <w:r>
        <w:t>——项目路段</w:t>
      </w:r>
      <w:r>
        <w:rPr>
          <w:spacing w:val="-12"/>
        </w:rPr>
        <w:t>，</w:t>
      </w:r>
      <w:r>
        <w:rPr>
          <w:spacing w:val="-105"/>
        </w:rPr>
        <w:t xml:space="preserve"> </w:t>
      </w:r>
      <w:r>
        <w:t>包括项目路段桩号</w:t>
      </w:r>
      <w:r>
        <w:rPr>
          <w:spacing w:val="-12"/>
        </w:rPr>
        <w:t>、</w:t>
      </w:r>
      <w:r>
        <w:t>原设计标准</w:t>
      </w:r>
      <w:r>
        <w:rPr>
          <w:spacing w:val="-12"/>
        </w:rPr>
        <w:t>、</w:t>
      </w:r>
      <w:r>
        <w:t>沿线气候及水文地质情况</w:t>
      </w:r>
      <w:r>
        <w:rPr>
          <w:spacing w:val="-11"/>
        </w:rPr>
        <w:t>；</w:t>
      </w:r>
    </w:p>
    <w:p w14:paraId="6340BAC7">
      <w:pPr>
        <w:pStyle w:val="56"/>
        <w:ind w:firstLine="304" w:firstLineChars="145"/>
      </w:pPr>
      <w:r>
        <w:t xml:space="preserve"> ——设计概况</w:t>
      </w:r>
      <w:r>
        <w:rPr>
          <w:spacing w:val="-1"/>
        </w:rPr>
        <w:t>，</w:t>
      </w:r>
      <w:r>
        <w:rPr>
          <w:spacing w:val="-101"/>
        </w:rPr>
        <w:t xml:space="preserve"> </w:t>
      </w:r>
      <w:r>
        <w:t>包括设计依据及引用规范等；</w:t>
      </w:r>
    </w:p>
    <w:p w14:paraId="023D3377">
      <w:pPr>
        <w:pStyle w:val="56"/>
        <w:ind w:firstLine="420"/>
      </w:pPr>
      <w:r>
        <w:t>——设计审查意见执行情况（若有应附</w:t>
      </w:r>
      <w:r>
        <w:rPr>
          <w:spacing w:val="-17"/>
        </w:rPr>
        <w:t>）；</w:t>
      </w:r>
    </w:p>
    <w:p w14:paraId="6DC4339C">
      <w:pPr>
        <w:pStyle w:val="56"/>
        <w:ind w:firstLine="420"/>
      </w:pPr>
      <w:r>
        <w:t>——主要结论</w:t>
      </w:r>
      <w:r>
        <w:rPr>
          <w:spacing w:val="-1"/>
        </w:rPr>
        <w:t>，</w:t>
      </w:r>
      <w:r>
        <w:rPr>
          <w:spacing w:val="-103"/>
        </w:rPr>
        <w:t xml:space="preserve"> </w:t>
      </w:r>
      <w:r>
        <w:t>包括路面状况评价结果及养护设计方案等。</w:t>
      </w:r>
    </w:p>
    <w:p w14:paraId="62EF56B0">
      <w:pPr>
        <w:pStyle w:val="79"/>
        <w:spacing w:before="156" w:after="156"/>
      </w:pPr>
      <w:r>
        <w:rPr>
          <w:rFonts w:hint="eastAsia"/>
        </w:rPr>
        <w:t>基础资料</w:t>
      </w:r>
      <w:r>
        <w:t>调查</w:t>
      </w:r>
    </w:p>
    <w:p w14:paraId="703C3EA6">
      <w:pPr>
        <w:pStyle w:val="56"/>
        <w:ind w:firstLine="420"/>
      </w:pPr>
      <w:r>
        <w:t>应包括以下内容</w:t>
      </w:r>
      <w:r>
        <w:rPr>
          <w:spacing w:val="-36"/>
        </w:rPr>
        <w:t>：</w:t>
      </w:r>
    </w:p>
    <w:p w14:paraId="39261C30">
      <w:pPr>
        <w:pStyle w:val="56"/>
        <w:ind w:firstLine="420"/>
      </w:pPr>
      <w:r>
        <w:t>——调查的内容和方法</w:t>
      </w:r>
      <w:r>
        <w:rPr>
          <w:spacing w:val="-34"/>
        </w:rPr>
        <w:t>；</w:t>
      </w:r>
    </w:p>
    <w:p w14:paraId="7A8A5CA8">
      <w:pPr>
        <w:pStyle w:val="56"/>
        <w:ind w:firstLine="424"/>
      </w:pPr>
      <w:r>
        <w:rPr>
          <w:spacing w:val="1"/>
        </w:rPr>
        <w:t>—</w:t>
      </w:r>
      <w:r>
        <w:t>—沿线气候</w:t>
      </w:r>
      <w:r>
        <w:rPr>
          <w:spacing w:val="1"/>
        </w:rPr>
        <w:t>、</w:t>
      </w:r>
      <w:r>
        <w:t>水文地质详细资料</w:t>
      </w:r>
      <w:r>
        <w:rPr>
          <w:spacing w:val="1"/>
        </w:rPr>
        <w:t>；</w:t>
      </w:r>
    </w:p>
    <w:p w14:paraId="517731C4">
      <w:pPr>
        <w:pStyle w:val="56"/>
        <w:ind w:firstLine="420"/>
      </w:pPr>
      <w:r>
        <w:t>——养护历史</w:t>
      </w:r>
      <w:r>
        <w:rPr>
          <w:spacing w:val="-21"/>
        </w:rPr>
        <w:t>。</w:t>
      </w:r>
    </w:p>
    <w:p w14:paraId="3EED20B5">
      <w:pPr>
        <w:pStyle w:val="79"/>
        <w:spacing w:before="156" w:after="156"/>
      </w:pPr>
      <w:r>
        <w:rPr>
          <w:rFonts w:hint="eastAsia"/>
        </w:rPr>
        <w:t>交通</w:t>
      </w:r>
      <w:r>
        <w:t>量</w:t>
      </w:r>
      <w:r>
        <w:rPr>
          <w:rFonts w:hint="eastAsia"/>
        </w:rPr>
        <w:t>调查与</w:t>
      </w:r>
      <w:r>
        <w:t>分析</w:t>
      </w:r>
    </w:p>
    <w:p w14:paraId="5B587A6F">
      <w:pPr>
        <w:pStyle w:val="56"/>
        <w:ind w:firstLine="420"/>
      </w:pPr>
      <w:r>
        <w:t>应包括以下内容</w:t>
      </w:r>
      <w:r>
        <w:rPr>
          <w:spacing w:val="-36"/>
        </w:rPr>
        <w:t>：</w:t>
      </w:r>
    </w:p>
    <w:p w14:paraId="3D845296">
      <w:pPr>
        <w:pStyle w:val="56"/>
        <w:ind w:firstLine="420"/>
      </w:pPr>
      <w:r>
        <w:t>——交通断面划分</w:t>
      </w:r>
      <w:r>
        <w:rPr>
          <w:spacing w:val="-23"/>
        </w:rPr>
        <w:t>；</w:t>
      </w:r>
    </w:p>
    <w:p w14:paraId="6E9FAC36">
      <w:pPr>
        <w:pStyle w:val="56"/>
        <w:ind w:firstLine="420"/>
      </w:pPr>
      <w:r>
        <w:t>——不同交通断面的车型比例</w:t>
      </w:r>
      <w:r>
        <w:rPr>
          <w:spacing w:val="-16"/>
        </w:rPr>
        <w:t>、</w:t>
      </w:r>
      <w:r>
        <w:t>轴载比例</w:t>
      </w:r>
      <w:r>
        <w:rPr>
          <w:spacing w:val="-16"/>
        </w:rPr>
        <w:t>、</w:t>
      </w:r>
      <w:r>
        <w:t>年平均日交通量及年增长率情况</w:t>
      </w:r>
      <w:r>
        <w:rPr>
          <w:spacing w:val="-15"/>
        </w:rPr>
        <w:t>；</w:t>
      </w:r>
      <w:r>
        <w:t xml:space="preserve"> </w:t>
      </w:r>
    </w:p>
    <w:p w14:paraId="7E94A2AA">
      <w:pPr>
        <w:pStyle w:val="56"/>
        <w:ind w:firstLine="420"/>
      </w:pPr>
      <w:r>
        <w:t>——重载车辆对路面的影响</w:t>
      </w:r>
      <w:r>
        <w:rPr>
          <w:spacing w:val="-23"/>
        </w:rPr>
        <w:t>；</w:t>
      </w:r>
    </w:p>
    <w:p w14:paraId="42EA7EE4">
      <w:pPr>
        <w:pStyle w:val="56"/>
        <w:ind w:firstLine="420"/>
        <w:rPr>
          <w:spacing w:val="-13"/>
        </w:rPr>
      </w:pPr>
      <w:r>
        <w:t>——交通量随时间的变化及发展趋势</w:t>
      </w:r>
      <w:r>
        <w:rPr>
          <w:spacing w:val="-13"/>
        </w:rPr>
        <w:t>。</w:t>
      </w:r>
    </w:p>
    <w:p w14:paraId="7794C602">
      <w:pPr>
        <w:pStyle w:val="79"/>
        <w:spacing w:before="156" w:after="156"/>
      </w:pPr>
      <w:r>
        <w:rPr>
          <w:rFonts w:hint="eastAsia"/>
        </w:rPr>
        <w:t>路</w:t>
      </w:r>
      <w:r>
        <w:t>面技术状况检测与分析</w:t>
      </w:r>
    </w:p>
    <w:p w14:paraId="7E772A6C">
      <w:pPr>
        <w:pStyle w:val="56"/>
        <w:ind w:firstLine="420"/>
      </w:pPr>
      <w:r>
        <w:t>应包括以下内容</w:t>
      </w:r>
      <w:r>
        <w:rPr>
          <w:spacing w:val="-36"/>
        </w:rPr>
        <w:t>：</w:t>
      </w:r>
    </w:p>
    <w:p w14:paraId="68B4372C">
      <w:pPr>
        <w:pStyle w:val="56"/>
        <w:ind w:firstLine="420"/>
      </w:pPr>
      <w:r>
        <w:t>——路面破损状况检测与分析</w:t>
      </w:r>
      <w:r>
        <w:rPr>
          <w:spacing w:val="-30"/>
        </w:rPr>
        <w:t>；</w:t>
      </w:r>
    </w:p>
    <w:p w14:paraId="0CDCDF06">
      <w:pPr>
        <w:pStyle w:val="56"/>
        <w:ind w:firstLine="424"/>
      </w:pPr>
      <w:r>
        <w:rPr>
          <w:spacing w:val="1"/>
        </w:rPr>
        <w:t>——</w:t>
      </w:r>
      <w:r>
        <w:t>路面行驶质量状况检测与分析</w:t>
      </w:r>
      <w:r>
        <w:rPr>
          <w:spacing w:val="1"/>
        </w:rPr>
        <w:t>；</w:t>
      </w:r>
    </w:p>
    <w:p w14:paraId="1B28E26D">
      <w:pPr>
        <w:pStyle w:val="56"/>
        <w:ind w:firstLine="420"/>
      </w:pPr>
      <w:r>
        <w:t>——路面车辙状况检测与分析</w:t>
      </w:r>
      <w:r>
        <w:rPr>
          <w:spacing w:val="-30"/>
        </w:rPr>
        <w:t>；</w:t>
      </w:r>
    </w:p>
    <w:p w14:paraId="35BBDD38">
      <w:pPr>
        <w:pStyle w:val="56"/>
        <w:ind w:firstLine="420"/>
      </w:pPr>
      <w:r>
        <w:t>——路面抗滑状况检测与分析</w:t>
      </w:r>
      <w:r>
        <w:rPr>
          <w:spacing w:val="-30"/>
        </w:rPr>
        <w:t>；</w:t>
      </w:r>
    </w:p>
    <w:p w14:paraId="175E99F5">
      <w:pPr>
        <w:pStyle w:val="56"/>
        <w:ind w:firstLine="420"/>
      </w:pPr>
      <w:r>
        <w:t>——路面结构强度检测与分析</w:t>
      </w:r>
      <w:r>
        <w:rPr>
          <w:spacing w:val="-18"/>
        </w:rPr>
        <w:t>。</w:t>
      </w:r>
    </w:p>
    <w:p w14:paraId="1BC59DA9">
      <w:pPr>
        <w:pStyle w:val="79"/>
        <w:spacing w:before="156" w:after="156"/>
      </w:pPr>
      <w:r>
        <w:rPr>
          <w:rFonts w:hint="eastAsia"/>
        </w:rPr>
        <w:t>养护</w:t>
      </w:r>
      <w:r>
        <w:t>设计</w:t>
      </w:r>
    </w:p>
    <w:p w14:paraId="2DD30991">
      <w:pPr>
        <w:pStyle w:val="56"/>
        <w:ind w:firstLine="420"/>
      </w:pPr>
      <w:r>
        <w:t>应包括以下内容</w:t>
      </w:r>
      <w:r>
        <w:rPr>
          <w:spacing w:val="-36"/>
        </w:rPr>
        <w:t>：</w:t>
      </w:r>
    </w:p>
    <w:p w14:paraId="25F8E1D2">
      <w:pPr>
        <w:pStyle w:val="56"/>
        <w:ind w:firstLine="420"/>
      </w:pPr>
      <w:r>
        <w:t>——设计路段现状（说明病害类型</w:t>
      </w:r>
      <w:r>
        <w:rPr>
          <w:spacing w:val="-33"/>
        </w:rPr>
        <w:t>、</w:t>
      </w:r>
      <w:r>
        <w:t>严重程度及分布情况等</w:t>
      </w:r>
      <w:r>
        <w:rPr>
          <w:spacing w:val="-33"/>
        </w:rPr>
        <w:t>，</w:t>
      </w:r>
      <w:r>
        <w:rPr>
          <w:spacing w:val="-105"/>
        </w:rPr>
        <w:t xml:space="preserve"> </w:t>
      </w:r>
      <w:r>
        <w:t>应附主要</w:t>
      </w:r>
      <w:r>
        <w:rPr>
          <w:spacing w:val="-32"/>
        </w:rPr>
        <w:t>、</w:t>
      </w:r>
      <w:r>
        <w:t>特殊病害照片及必要的芯 样照片</w:t>
      </w:r>
      <w:r>
        <w:rPr>
          <w:spacing w:val="-21"/>
        </w:rPr>
        <w:t>）；</w:t>
      </w:r>
    </w:p>
    <w:p w14:paraId="6BB82566">
      <w:pPr>
        <w:pStyle w:val="56"/>
        <w:ind w:firstLine="420"/>
        <w:rPr>
          <w:rFonts w:hAnsi="宋体" w:cs="宋体"/>
          <w:szCs w:val="21"/>
        </w:rPr>
      </w:pPr>
      <w:r>
        <w:t>——病害成因分析（通过基础资料分析</w:t>
      </w:r>
      <w:r>
        <w:rPr>
          <w:spacing w:val="-50"/>
        </w:rPr>
        <w:t>、</w:t>
      </w:r>
      <w:r>
        <w:t>路面技术状况检测与分析及病害专项检测与分析</w:t>
      </w:r>
      <w:r>
        <w:rPr>
          <w:spacing w:val="-49"/>
        </w:rPr>
        <w:t>，</w:t>
      </w:r>
      <w:r>
        <w:rPr>
          <w:spacing w:val="-105"/>
        </w:rPr>
        <w:t xml:space="preserve"> </w:t>
      </w:r>
      <w:r>
        <w:t>判定主</w:t>
      </w:r>
      <w:r>
        <w:rPr>
          <w:rFonts w:hAnsi="宋体" w:cs="宋体"/>
          <w:szCs w:val="21"/>
        </w:rPr>
        <w:t>要病害成因</w:t>
      </w:r>
      <w:r>
        <w:rPr>
          <w:rFonts w:hAnsi="宋体" w:cs="宋体"/>
          <w:spacing w:val="-15"/>
          <w:szCs w:val="21"/>
        </w:rPr>
        <w:t>）</w:t>
      </w:r>
      <w:r>
        <w:rPr>
          <w:rFonts w:hAnsi="宋体" w:cs="宋体"/>
          <w:spacing w:val="-14"/>
          <w:szCs w:val="21"/>
        </w:rPr>
        <w:t>；</w:t>
      </w:r>
    </w:p>
    <w:p w14:paraId="6D258571">
      <w:pPr>
        <w:pStyle w:val="56"/>
        <w:ind w:firstLine="420"/>
        <w:rPr>
          <w:spacing w:val="-12"/>
        </w:rPr>
      </w:pPr>
      <w:r>
        <w:t>——具体处治方案设计（根据方案设计原则</w:t>
      </w:r>
      <w:r>
        <w:rPr>
          <w:spacing w:val="-52"/>
        </w:rPr>
        <w:t>，</w:t>
      </w:r>
      <w:r>
        <w:t>结合病害发展程度和原路面结构设计</w:t>
      </w:r>
      <w:r>
        <w:rPr>
          <w:spacing w:val="-51"/>
        </w:rPr>
        <w:t>，</w:t>
      </w:r>
      <w:r>
        <w:rPr>
          <w:spacing w:val="-105"/>
        </w:rPr>
        <w:t xml:space="preserve"> </w:t>
      </w:r>
      <w:r>
        <w:t>给出具体路段 的病害处治方案</w:t>
      </w:r>
      <w:r>
        <w:rPr>
          <w:spacing w:val="-12"/>
        </w:rPr>
        <w:t>，</w:t>
      </w:r>
      <w:r>
        <w:t>必要时给出排水方案</w:t>
      </w:r>
      <w:r>
        <w:rPr>
          <w:spacing w:val="-12"/>
        </w:rPr>
        <w:t>）</w:t>
      </w:r>
      <w:r>
        <w:rPr>
          <w:rFonts w:hint="eastAsia"/>
          <w:spacing w:val="-12"/>
        </w:rPr>
        <w:t>。</w:t>
      </w:r>
    </w:p>
    <w:p w14:paraId="405B0645">
      <w:pPr>
        <w:pStyle w:val="79"/>
        <w:spacing w:before="156" w:after="156"/>
      </w:pPr>
      <w:r>
        <w:rPr>
          <w:rFonts w:hint="eastAsia"/>
        </w:rPr>
        <w:t>路</w:t>
      </w:r>
      <w:r>
        <w:t>面结构</w:t>
      </w:r>
      <w:r>
        <w:rPr>
          <w:rFonts w:hint="eastAsia"/>
        </w:rPr>
        <w:t>材料</w:t>
      </w:r>
      <w:r>
        <w:t>组成设计</w:t>
      </w:r>
    </w:p>
    <w:p w14:paraId="63AD2823">
      <w:pPr>
        <w:pStyle w:val="56"/>
        <w:ind w:firstLine="420"/>
      </w:pPr>
      <w:r>
        <w:t>应包括以下内容</w:t>
      </w:r>
      <w:r>
        <w:rPr>
          <w:spacing w:val="-36"/>
        </w:rPr>
        <w:t>：</w:t>
      </w:r>
    </w:p>
    <w:p w14:paraId="6FBC2EB1">
      <w:pPr>
        <w:pStyle w:val="56"/>
        <w:ind w:firstLine="420"/>
      </w:pPr>
      <w:r>
        <w:t>——沥青混合料原材料要求及混合料组成设计（包括沥青</w:t>
      </w:r>
      <w:r>
        <w:rPr>
          <w:spacing w:val="-33"/>
        </w:rPr>
        <w:t>、</w:t>
      </w:r>
      <w:r>
        <w:t>集料</w:t>
      </w:r>
      <w:r>
        <w:rPr>
          <w:spacing w:val="-33"/>
        </w:rPr>
        <w:t>、</w:t>
      </w:r>
      <w:r>
        <w:t>矿粉</w:t>
      </w:r>
      <w:r>
        <w:rPr>
          <w:spacing w:val="-32"/>
        </w:rPr>
        <w:t>、</w:t>
      </w:r>
      <w:r>
        <w:t>抗剥落剂等原材料及沥青 混合料等性能要求</w:t>
      </w:r>
      <w:r>
        <w:rPr>
          <w:spacing w:val="-5"/>
        </w:rPr>
        <w:t>）</w:t>
      </w:r>
      <w:r>
        <w:rPr>
          <w:spacing w:val="-105"/>
        </w:rPr>
        <w:t xml:space="preserve"> </w:t>
      </w:r>
      <w:r>
        <w:rPr>
          <w:spacing w:val="-5"/>
        </w:rPr>
        <w:t>；</w:t>
      </w:r>
    </w:p>
    <w:p w14:paraId="0BD67938">
      <w:pPr>
        <w:pStyle w:val="56"/>
        <w:ind w:firstLine="424"/>
      </w:pPr>
      <w:r>
        <w:rPr>
          <w:spacing w:val="1"/>
        </w:rPr>
        <w:t>—</w:t>
      </w:r>
      <w:r>
        <w:t>—粘层</w:t>
      </w:r>
      <w:r>
        <w:rPr>
          <w:spacing w:val="1"/>
        </w:rPr>
        <w:t>、</w:t>
      </w:r>
      <w:r>
        <w:t>透层及封层等材料要求</w:t>
      </w:r>
      <w:r>
        <w:rPr>
          <w:spacing w:val="1"/>
        </w:rPr>
        <w:t>；</w:t>
      </w:r>
    </w:p>
    <w:p w14:paraId="5E37A997">
      <w:pPr>
        <w:pStyle w:val="56"/>
        <w:ind w:firstLine="420"/>
      </w:pPr>
      <w:r>
        <w:t>——其他设计用到材料的要求</w:t>
      </w:r>
      <w:r>
        <w:rPr>
          <w:spacing w:val="-18"/>
        </w:rPr>
        <w:t>。</w:t>
      </w:r>
    </w:p>
    <w:p w14:paraId="4AED50BE">
      <w:pPr>
        <w:pStyle w:val="79"/>
        <w:spacing w:before="156" w:after="156"/>
      </w:pPr>
      <w:r>
        <w:rPr>
          <w:rFonts w:hint="eastAsia"/>
        </w:rPr>
        <w:t>施工</w:t>
      </w:r>
      <w:r>
        <w:t>工</w:t>
      </w:r>
      <w:r>
        <w:rPr>
          <w:rFonts w:hint="eastAsia"/>
        </w:rPr>
        <w:t>艺</w:t>
      </w:r>
    </w:p>
    <w:p w14:paraId="7E2AC048">
      <w:pPr>
        <w:pStyle w:val="56"/>
        <w:ind w:firstLine="420"/>
      </w:pPr>
      <w:r>
        <w:t>应包括以下内容</w:t>
      </w:r>
      <w:r>
        <w:rPr>
          <w:spacing w:val="-36"/>
        </w:rPr>
        <w:t>：</w:t>
      </w:r>
    </w:p>
    <w:p w14:paraId="4EF8C61C">
      <w:pPr>
        <w:pStyle w:val="56"/>
        <w:ind w:firstLine="420"/>
      </w:pPr>
      <w:r>
        <w:t>——沥青混合料施工工艺（包括沥青面层铣刨工艺</w:t>
      </w:r>
      <w:r>
        <w:rPr>
          <w:spacing w:val="-21"/>
        </w:rPr>
        <w:t>，</w:t>
      </w:r>
      <w:r>
        <w:rPr>
          <w:spacing w:val="-105"/>
        </w:rPr>
        <w:t xml:space="preserve"> </w:t>
      </w:r>
      <w:r>
        <w:t>沥青混合料拌制</w:t>
      </w:r>
      <w:r>
        <w:rPr>
          <w:spacing w:val="-21"/>
        </w:rPr>
        <w:t>、</w:t>
      </w:r>
      <w:r>
        <w:t>运输</w:t>
      </w:r>
      <w:r>
        <w:rPr>
          <w:spacing w:val="-21"/>
        </w:rPr>
        <w:t>、</w:t>
      </w:r>
      <w:r>
        <w:t>摊铺</w:t>
      </w:r>
      <w:r>
        <w:rPr>
          <w:spacing w:val="-20"/>
        </w:rPr>
        <w:t>、</w:t>
      </w:r>
      <w:r>
        <w:t>碾压</w:t>
      </w:r>
      <w:r>
        <w:rPr>
          <w:spacing w:val="-20"/>
        </w:rPr>
        <w:t>、</w:t>
      </w:r>
      <w:r>
        <w:t>开放交 通要求及其他</w:t>
      </w:r>
      <w:r>
        <w:rPr>
          <w:spacing w:val="-18"/>
        </w:rPr>
        <w:t>）</w:t>
      </w:r>
      <w:r>
        <w:rPr>
          <w:spacing w:val="-17"/>
        </w:rPr>
        <w:t>；</w:t>
      </w:r>
    </w:p>
    <w:p w14:paraId="3996A948">
      <w:pPr>
        <w:pStyle w:val="56"/>
        <w:ind w:firstLine="420"/>
      </w:pPr>
      <w:r>
        <w:t>——冷接缝的施工工艺</w:t>
      </w:r>
      <w:r>
        <w:rPr>
          <w:spacing w:val="-34"/>
        </w:rPr>
        <w:t>；</w:t>
      </w:r>
    </w:p>
    <w:p w14:paraId="69FEC657">
      <w:pPr>
        <w:pStyle w:val="56"/>
        <w:ind w:firstLine="420"/>
      </w:pPr>
      <w:r>
        <w:t>——排水施工工艺</w:t>
      </w:r>
      <w:r>
        <w:rPr>
          <w:spacing w:val="-23"/>
        </w:rPr>
        <w:t>；</w:t>
      </w:r>
    </w:p>
    <w:p w14:paraId="5BF3A0D2">
      <w:pPr>
        <w:pStyle w:val="56"/>
        <w:ind w:firstLine="420"/>
      </w:pPr>
      <w:r>
        <w:t>——下承层施工工艺</w:t>
      </w:r>
      <w:r>
        <w:rPr>
          <w:spacing w:val="-30"/>
        </w:rPr>
        <w:t>；</w:t>
      </w:r>
    </w:p>
    <w:p w14:paraId="00E3B0FB">
      <w:pPr>
        <w:pStyle w:val="56"/>
        <w:ind w:firstLine="420"/>
      </w:pPr>
      <w:r>
        <w:t>——其他</w:t>
      </w:r>
    </w:p>
    <w:p w14:paraId="23D123B9">
      <w:pPr>
        <w:pStyle w:val="79"/>
        <w:spacing w:before="156" w:after="156"/>
      </w:pPr>
      <w:r>
        <w:rPr>
          <w:rFonts w:hint="eastAsia"/>
        </w:rPr>
        <w:t>交通</w:t>
      </w:r>
      <w:r>
        <w:t>组织</w:t>
      </w:r>
      <w:r>
        <w:rPr>
          <w:rFonts w:hint="eastAsia"/>
        </w:rPr>
        <w:t>设计</w:t>
      </w:r>
    </w:p>
    <w:p w14:paraId="3AD19ABF">
      <w:pPr>
        <w:pStyle w:val="56"/>
        <w:ind w:firstLine="420"/>
      </w:pPr>
      <w:r>
        <w:t>应包括以下内容</w:t>
      </w:r>
      <w:r>
        <w:rPr>
          <w:spacing w:val="-36"/>
        </w:rPr>
        <w:t>：</w:t>
      </w:r>
    </w:p>
    <w:p w14:paraId="2481FB16">
      <w:pPr>
        <w:pStyle w:val="56"/>
        <w:ind w:firstLine="420"/>
      </w:pPr>
      <w:r>
        <w:t>——交通组织方案</w:t>
      </w:r>
      <w:r>
        <w:rPr>
          <w:spacing w:val="-23"/>
        </w:rPr>
        <w:t>；</w:t>
      </w:r>
    </w:p>
    <w:p w14:paraId="2877623A">
      <w:pPr>
        <w:pStyle w:val="56"/>
        <w:ind w:firstLine="420"/>
      </w:pPr>
      <w:r>
        <w:t>——交通管制安全保证措施</w:t>
      </w:r>
      <w:r>
        <w:rPr>
          <w:spacing w:val="-23"/>
        </w:rPr>
        <w:t>；</w:t>
      </w:r>
    </w:p>
    <w:p w14:paraId="7A33EDEA">
      <w:pPr>
        <w:pStyle w:val="56"/>
        <w:ind w:firstLine="420"/>
      </w:pPr>
      <w:r>
        <w:t>——其他</w:t>
      </w:r>
    </w:p>
    <w:p w14:paraId="52062204">
      <w:pPr>
        <w:pStyle w:val="79"/>
        <w:spacing w:before="156" w:after="156"/>
      </w:pPr>
      <w:r>
        <w:rPr>
          <w:rFonts w:hint="eastAsia"/>
        </w:rPr>
        <w:t>其他注意</w:t>
      </w:r>
      <w:r>
        <w:t>事项</w:t>
      </w:r>
    </w:p>
    <w:p w14:paraId="0BAD1BAB">
      <w:pPr>
        <w:pStyle w:val="79"/>
        <w:spacing w:before="156" w:after="156"/>
      </w:pPr>
      <w:r>
        <w:rPr>
          <w:rFonts w:hint="eastAsia"/>
        </w:rPr>
        <w:t>附件</w:t>
      </w:r>
    </w:p>
    <w:p w14:paraId="250906FA">
      <w:pPr>
        <w:pStyle w:val="56"/>
        <w:ind w:firstLine="420"/>
        <w:rPr>
          <w:rFonts w:hAnsi="宋体" w:cs="宋体"/>
          <w:spacing w:val="-8"/>
          <w:position w:val="32"/>
          <w:szCs w:val="21"/>
        </w:rPr>
      </w:pPr>
      <w:r>
        <w:rPr>
          <w:rFonts w:hAnsi="宋体" w:cs="宋体"/>
          <w:position w:val="32"/>
          <w:szCs w:val="21"/>
        </w:rPr>
        <w:t>有关部门的委托函</w:t>
      </w:r>
      <w:r>
        <w:rPr>
          <w:rFonts w:hAnsi="宋体" w:cs="宋体"/>
          <w:spacing w:val="-9"/>
          <w:position w:val="32"/>
          <w:szCs w:val="21"/>
        </w:rPr>
        <w:t>、</w:t>
      </w:r>
      <w:r>
        <w:rPr>
          <w:rFonts w:hAnsi="宋体" w:cs="宋体"/>
          <w:position w:val="32"/>
          <w:szCs w:val="21"/>
        </w:rPr>
        <w:t>意见</w:t>
      </w:r>
      <w:r>
        <w:rPr>
          <w:rFonts w:hAnsi="宋体" w:cs="宋体"/>
          <w:spacing w:val="-9"/>
          <w:position w:val="32"/>
          <w:szCs w:val="21"/>
        </w:rPr>
        <w:t>、</w:t>
      </w:r>
      <w:r>
        <w:rPr>
          <w:rFonts w:hAnsi="宋体" w:cs="宋体"/>
          <w:position w:val="32"/>
          <w:szCs w:val="21"/>
        </w:rPr>
        <w:t>协议及纪要等文件</w:t>
      </w:r>
      <w:r>
        <w:rPr>
          <w:rFonts w:hAnsi="宋体" w:cs="宋体"/>
          <w:spacing w:val="-8"/>
          <w:position w:val="32"/>
          <w:szCs w:val="21"/>
        </w:rPr>
        <w:t>。</w:t>
      </w:r>
    </w:p>
    <w:p w14:paraId="6E0B7F48">
      <w:pPr>
        <w:pStyle w:val="78"/>
        <w:spacing w:before="156" w:after="156"/>
      </w:pPr>
      <w:bookmarkStart w:id="85" w:name="_Toc180078198"/>
      <w:r>
        <w:rPr>
          <w:rFonts w:hint="eastAsia"/>
        </w:rPr>
        <w:t>路面</w:t>
      </w:r>
      <w:r>
        <w:t>病害</w:t>
      </w:r>
      <w:r>
        <w:rPr>
          <w:rFonts w:hint="eastAsia"/>
        </w:rPr>
        <w:t>处</w:t>
      </w:r>
      <w:r>
        <w:t>治设计图</w:t>
      </w:r>
      <w:bookmarkEnd w:id="85"/>
    </w:p>
    <w:p w14:paraId="4C3BA690">
      <w:pPr>
        <w:pStyle w:val="79"/>
        <w:spacing w:before="156" w:after="156"/>
      </w:pPr>
      <w:r>
        <w:rPr>
          <w:rFonts w:hint="eastAsia"/>
        </w:rPr>
        <w:t>养护</w:t>
      </w:r>
      <w:r>
        <w:t>历史平面信息图</w:t>
      </w:r>
    </w:p>
    <w:p w14:paraId="0BD10D00">
      <w:pPr>
        <w:pStyle w:val="56"/>
        <w:ind w:firstLine="420"/>
        <w:rPr>
          <w:rFonts w:hAnsi="宋体" w:cs="宋体"/>
          <w:spacing w:val="-22"/>
          <w:position w:val="19"/>
          <w:szCs w:val="21"/>
        </w:rPr>
      </w:pPr>
      <w:r>
        <w:rPr>
          <w:rFonts w:hAnsi="宋体" w:cs="宋体"/>
          <w:position w:val="19"/>
          <w:szCs w:val="21"/>
        </w:rPr>
        <w:t>根据养护历史资料绘出养护路段的养护历史平面信息图</w:t>
      </w:r>
      <w:r>
        <w:rPr>
          <w:rFonts w:hAnsi="宋体" w:cs="宋体"/>
          <w:spacing w:val="-22"/>
          <w:position w:val="19"/>
          <w:szCs w:val="21"/>
        </w:rPr>
        <w:t>。</w:t>
      </w:r>
    </w:p>
    <w:p w14:paraId="08ACF0F9">
      <w:pPr>
        <w:pStyle w:val="79"/>
        <w:spacing w:before="156" w:after="156"/>
      </w:pPr>
      <w:r>
        <w:rPr>
          <w:rFonts w:hint="eastAsia"/>
        </w:rPr>
        <w:t>路面</w:t>
      </w:r>
      <w:r>
        <w:t>病害处治平面示意图</w:t>
      </w:r>
    </w:p>
    <w:p w14:paraId="7304BAB4">
      <w:pPr>
        <w:pStyle w:val="56"/>
        <w:ind w:firstLine="420"/>
        <w:rPr>
          <w:rFonts w:hAnsi="宋体" w:cs="宋体"/>
          <w:spacing w:val="-13"/>
          <w:szCs w:val="21"/>
        </w:rPr>
      </w:pPr>
      <w:r>
        <w:rPr>
          <w:rFonts w:hAnsi="宋体" w:cs="宋体"/>
          <w:szCs w:val="21"/>
        </w:rPr>
        <w:t>绘出线路走向</w:t>
      </w:r>
      <w:r>
        <w:rPr>
          <w:rFonts w:hAnsi="宋体" w:cs="宋体"/>
          <w:spacing w:val="-14"/>
          <w:szCs w:val="21"/>
        </w:rPr>
        <w:t>、</w:t>
      </w:r>
      <w:r>
        <w:rPr>
          <w:rFonts w:hAnsi="宋体" w:cs="宋体"/>
          <w:szCs w:val="21"/>
        </w:rPr>
        <w:t>养护路段桩号及方案类别等</w:t>
      </w:r>
      <w:r>
        <w:rPr>
          <w:rFonts w:hAnsi="宋体" w:cs="宋体"/>
          <w:spacing w:val="-13"/>
          <w:szCs w:val="21"/>
        </w:rPr>
        <w:t>，</w:t>
      </w:r>
      <w:r>
        <w:rPr>
          <w:rFonts w:hAnsi="宋体" w:cs="宋体"/>
          <w:szCs w:val="21"/>
        </w:rPr>
        <w:t>对病害集中或特殊病害路段进行描述</w:t>
      </w:r>
      <w:r>
        <w:rPr>
          <w:rFonts w:hAnsi="宋体" w:cs="宋体"/>
          <w:spacing w:val="-13"/>
          <w:szCs w:val="21"/>
        </w:rPr>
        <w:t>。</w:t>
      </w:r>
    </w:p>
    <w:p w14:paraId="7C00B738">
      <w:pPr>
        <w:pStyle w:val="79"/>
        <w:spacing w:before="156" w:after="156"/>
      </w:pPr>
      <w:r>
        <w:rPr>
          <w:rFonts w:hint="eastAsia"/>
        </w:rPr>
        <w:t>路面</w:t>
      </w:r>
      <w:r>
        <w:t>病害处治结构图</w:t>
      </w:r>
    </w:p>
    <w:p w14:paraId="355739C3">
      <w:pPr>
        <w:pStyle w:val="56"/>
        <w:ind w:firstLine="420"/>
        <w:rPr>
          <w:rFonts w:hAnsi="宋体" w:cs="宋体"/>
          <w:spacing w:val="-5"/>
          <w:szCs w:val="21"/>
        </w:rPr>
      </w:pPr>
      <w:r>
        <w:rPr>
          <w:rFonts w:hAnsi="宋体" w:cs="宋体"/>
          <w:szCs w:val="21"/>
        </w:rPr>
        <w:t>示出病害类型</w:t>
      </w:r>
      <w:r>
        <w:rPr>
          <w:rFonts w:hAnsi="宋体" w:cs="宋体"/>
          <w:spacing w:val="-60"/>
          <w:szCs w:val="21"/>
        </w:rPr>
        <w:t>、</w:t>
      </w:r>
      <w:r>
        <w:rPr>
          <w:rFonts w:hAnsi="宋体" w:cs="宋体"/>
          <w:szCs w:val="21"/>
        </w:rPr>
        <w:t>处治宽度及深度</w:t>
      </w:r>
      <w:r>
        <w:rPr>
          <w:rFonts w:hAnsi="宋体" w:cs="宋体"/>
          <w:spacing w:val="-60"/>
          <w:szCs w:val="21"/>
        </w:rPr>
        <w:t>、</w:t>
      </w:r>
      <w:r>
        <w:rPr>
          <w:rFonts w:hAnsi="宋体" w:cs="宋体"/>
          <w:szCs w:val="21"/>
        </w:rPr>
        <w:t>修补材料和回填材料及每千米工程数量表</w:t>
      </w:r>
      <w:r>
        <w:rPr>
          <w:rFonts w:hAnsi="宋体" w:cs="宋体"/>
          <w:spacing w:val="-60"/>
          <w:szCs w:val="21"/>
        </w:rPr>
        <w:t>。</w:t>
      </w:r>
      <w:r>
        <w:rPr>
          <w:rFonts w:hAnsi="宋体" w:cs="宋体"/>
          <w:szCs w:val="21"/>
        </w:rPr>
        <w:t>附注应说明施工程序</w:t>
      </w:r>
      <w:r>
        <w:rPr>
          <w:rFonts w:hAnsi="宋体" w:cs="宋体"/>
          <w:spacing w:val="-59"/>
          <w:szCs w:val="21"/>
        </w:rPr>
        <w:t>、</w:t>
      </w:r>
      <w:r>
        <w:rPr>
          <w:rFonts w:hAnsi="宋体" w:cs="宋体"/>
          <w:szCs w:val="21"/>
        </w:rPr>
        <w:t xml:space="preserve"> 重点及难点</w:t>
      </w:r>
      <w:r>
        <w:rPr>
          <w:rFonts w:hAnsi="宋体" w:cs="宋体"/>
          <w:spacing w:val="-5"/>
          <w:szCs w:val="21"/>
        </w:rPr>
        <w:t>。</w:t>
      </w:r>
    </w:p>
    <w:p w14:paraId="417F0B0C">
      <w:pPr>
        <w:pStyle w:val="79"/>
        <w:spacing w:before="156" w:after="156"/>
      </w:pPr>
      <w:r>
        <w:rPr>
          <w:rFonts w:hint="eastAsia"/>
        </w:rPr>
        <w:t>其他设计图</w:t>
      </w:r>
    </w:p>
    <w:p w14:paraId="2695D22B">
      <w:pPr>
        <w:pStyle w:val="56"/>
        <w:ind w:firstLine="420"/>
        <w:rPr>
          <w:rFonts w:hAnsi="宋体" w:cs="宋体"/>
          <w:spacing w:val="-12"/>
          <w:szCs w:val="21"/>
        </w:rPr>
      </w:pPr>
      <w:r>
        <w:rPr>
          <w:rFonts w:hAnsi="宋体" w:cs="宋体"/>
          <w:szCs w:val="21"/>
        </w:rPr>
        <w:t>如排水设计图</w:t>
      </w:r>
      <w:r>
        <w:rPr>
          <w:rFonts w:hAnsi="宋体" w:cs="宋体"/>
          <w:spacing w:val="-12"/>
          <w:szCs w:val="21"/>
        </w:rPr>
        <w:t>、</w:t>
      </w:r>
      <w:r>
        <w:rPr>
          <w:rFonts w:hAnsi="宋体" w:cs="宋体"/>
          <w:szCs w:val="21"/>
        </w:rPr>
        <w:t>加铺与未加铺路段的过渡段设计图</w:t>
      </w:r>
      <w:r>
        <w:rPr>
          <w:rFonts w:hAnsi="宋体" w:cs="宋体"/>
          <w:spacing w:val="-12"/>
          <w:szCs w:val="21"/>
        </w:rPr>
        <w:t>、</w:t>
      </w:r>
      <w:r>
        <w:rPr>
          <w:rFonts w:hAnsi="宋体" w:cs="宋体"/>
          <w:szCs w:val="21"/>
        </w:rPr>
        <w:t>标线及护栏改造设计图等其他设计图</w:t>
      </w:r>
      <w:r>
        <w:rPr>
          <w:rFonts w:hAnsi="宋体" w:cs="宋体"/>
          <w:spacing w:val="-12"/>
          <w:szCs w:val="21"/>
        </w:rPr>
        <w:t>。</w:t>
      </w:r>
    </w:p>
    <w:p w14:paraId="2D16EF40">
      <w:pPr>
        <w:pStyle w:val="78"/>
        <w:spacing w:before="156" w:after="156"/>
      </w:pPr>
      <w:bookmarkStart w:id="86" w:name="_Toc180078199"/>
      <w:r>
        <w:rPr>
          <w:rFonts w:hint="eastAsia"/>
        </w:rPr>
        <w:t>交通</w:t>
      </w:r>
      <w:r>
        <w:t>组织设计</w:t>
      </w:r>
      <w:r>
        <w:rPr>
          <w:rFonts w:hint="eastAsia"/>
        </w:rPr>
        <w:t>图</w:t>
      </w:r>
      <w:bookmarkEnd w:id="86"/>
    </w:p>
    <w:p w14:paraId="1BA29AA1">
      <w:pPr>
        <w:pStyle w:val="56"/>
        <w:ind w:firstLine="420"/>
        <w:rPr>
          <w:rFonts w:hAnsi="宋体" w:cs="宋体"/>
          <w:spacing w:val="-9"/>
          <w:position w:val="32"/>
          <w:szCs w:val="21"/>
        </w:rPr>
      </w:pPr>
      <w:r>
        <w:rPr>
          <w:rFonts w:hAnsi="宋体" w:cs="宋体"/>
          <w:position w:val="32"/>
          <w:szCs w:val="21"/>
        </w:rPr>
        <w:t>绘出施工期间临时交通限流</w:t>
      </w:r>
      <w:r>
        <w:rPr>
          <w:rFonts w:hAnsi="宋体" w:cs="宋体"/>
          <w:spacing w:val="-10"/>
          <w:position w:val="32"/>
          <w:szCs w:val="21"/>
        </w:rPr>
        <w:t>、</w:t>
      </w:r>
      <w:r>
        <w:rPr>
          <w:rFonts w:hAnsi="宋体" w:cs="宋体"/>
          <w:position w:val="32"/>
          <w:szCs w:val="21"/>
        </w:rPr>
        <w:t>分流</w:t>
      </w:r>
      <w:r>
        <w:rPr>
          <w:rFonts w:hAnsi="宋体" w:cs="宋体"/>
          <w:spacing w:val="-10"/>
          <w:position w:val="32"/>
          <w:szCs w:val="21"/>
        </w:rPr>
        <w:t>、</w:t>
      </w:r>
      <w:r>
        <w:rPr>
          <w:rFonts w:hAnsi="宋体" w:cs="宋体"/>
          <w:position w:val="32"/>
          <w:szCs w:val="21"/>
        </w:rPr>
        <w:t>封闭及绕行等交通管制措施设计图</w:t>
      </w:r>
      <w:r>
        <w:rPr>
          <w:rFonts w:hAnsi="宋体" w:cs="宋体"/>
          <w:spacing w:val="-9"/>
          <w:position w:val="32"/>
          <w:szCs w:val="21"/>
        </w:rPr>
        <w:t>。</w:t>
      </w:r>
    </w:p>
    <w:p w14:paraId="798E7F2D">
      <w:pPr>
        <w:pStyle w:val="78"/>
        <w:spacing w:before="156" w:after="156"/>
      </w:pPr>
      <w:bookmarkStart w:id="87" w:name="_Toc180078200"/>
      <w:r>
        <w:rPr>
          <w:rFonts w:hint="eastAsia"/>
        </w:rPr>
        <w:t>工程</w:t>
      </w:r>
      <w:r>
        <w:t>数量表</w:t>
      </w:r>
      <w:bookmarkEnd w:id="87"/>
    </w:p>
    <w:p w14:paraId="11993AD2">
      <w:pPr>
        <w:pStyle w:val="56"/>
        <w:ind w:firstLine="420"/>
        <w:rPr>
          <w:rFonts w:hAnsi="宋体" w:cs="宋体"/>
          <w:spacing w:val="-3"/>
          <w:szCs w:val="21"/>
        </w:rPr>
      </w:pPr>
      <w:r>
        <w:rPr>
          <w:rFonts w:hAnsi="宋体" w:cs="宋体"/>
          <w:szCs w:val="21"/>
        </w:rPr>
        <w:t>列出路段桩号</w:t>
      </w:r>
      <w:r>
        <w:rPr>
          <w:rFonts w:hAnsi="宋体" w:cs="宋体"/>
          <w:spacing w:val="-15"/>
          <w:szCs w:val="21"/>
        </w:rPr>
        <w:t>、</w:t>
      </w:r>
      <w:r>
        <w:rPr>
          <w:rFonts w:hAnsi="宋体" w:cs="宋体"/>
          <w:szCs w:val="21"/>
        </w:rPr>
        <w:t>幅别（上</w:t>
      </w:r>
      <w:r>
        <w:rPr>
          <w:rFonts w:hAnsi="宋体" w:cs="宋体"/>
          <w:spacing w:val="-15"/>
          <w:szCs w:val="21"/>
        </w:rPr>
        <w:t>、</w:t>
      </w:r>
      <w:r>
        <w:rPr>
          <w:rFonts w:hAnsi="宋体" w:cs="宋体"/>
          <w:szCs w:val="21"/>
        </w:rPr>
        <w:t>下行线</w:t>
      </w:r>
      <w:r>
        <w:rPr>
          <w:rFonts w:hAnsi="宋体" w:cs="宋体"/>
          <w:spacing w:val="-15"/>
          <w:szCs w:val="21"/>
        </w:rPr>
        <w:t>）、</w:t>
      </w:r>
      <w:r>
        <w:rPr>
          <w:rFonts w:hAnsi="宋体" w:cs="宋体"/>
          <w:szCs w:val="21"/>
        </w:rPr>
        <w:t>车道</w:t>
      </w:r>
      <w:r>
        <w:rPr>
          <w:rFonts w:hAnsi="宋体" w:cs="宋体"/>
          <w:spacing w:val="-15"/>
          <w:szCs w:val="21"/>
        </w:rPr>
        <w:t>、</w:t>
      </w:r>
      <w:r>
        <w:rPr>
          <w:rFonts w:hAnsi="宋体" w:cs="宋体"/>
          <w:szCs w:val="21"/>
        </w:rPr>
        <w:t>长度</w:t>
      </w:r>
      <w:r>
        <w:rPr>
          <w:rFonts w:hAnsi="宋体" w:cs="宋体"/>
          <w:spacing w:val="-15"/>
          <w:szCs w:val="21"/>
        </w:rPr>
        <w:t>、</w:t>
      </w:r>
      <w:r>
        <w:rPr>
          <w:rFonts w:hAnsi="宋体" w:cs="宋体"/>
          <w:szCs w:val="21"/>
        </w:rPr>
        <w:t>病害处治的材料名称和数量</w:t>
      </w:r>
      <w:r>
        <w:rPr>
          <w:rFonts w:hAnsi="宋体" w:cs="宋体"/>
          <w:spacing w:val="-14"/>
          <w:szCs w:val="21"/>
        </w:rPr>
        <w:t>，</w:t>
      </w:r>
      <w:r>
        <w:rPr>
          <w:rFonts w:hAnsi="宋体" w:cs="宋体"/>
          <w:szCs w:val="21"/>
        </w:rPr>
        <w:t>回填材料的名称 和数量及铣刨原路面的数量等</w:t>
      </w:r>
      <w:r>
        <w:rPr>
          <w:rFonts w:hAnsi="宋体" w:cs="宋体"/>
          <w:spacing w:val="-3"/>
          <w:szCs w:val="21"/>
        </w:rPr>
        <w:t>。</w:t>
      </w:r>
    </w:p>
    <w:p w14:paraId="053C460E">
      <w:pPr>
        <w:pStyle w:val="56"/>
        <w:ind w:firstLine="408"/>
        <w:rPr>
          <w:rFonts w:hAnsi="宋体" w:cs="宋体"/>
          <w:spacing w:val="-3"/>
          <w:szCs w:val="21"/>
        </w:rPr>
      </w:pPr>
    </w:p>
    <w:p w14:paraId="3B32D683">
      <w:pPr>
        <w:pStyle w:val="56"/>
        <w:ind w:firstLine="408"/>
        <w:rPr>
          <w:rFonts w:hAnsi="宋体" w:cs="宋体"/>
          <w:spacing w:val="-3"/>
          <w:szCs w:val="21"/>
        </w:rPr>
      </w:pPr>
    </w:p>
    <w:p w14:paraId="3D3BCEA8">
      <w:pPr>
        <w:pStyle w:val="56"/>
        <w:ind w:firstLine="408"/>
        <w:rPr>
          <w:rFonts w:hAnsi="宋体" w:cs="宋体"/>
          <w:spacing w:val="-3"/>
          <w:szCs w:val="21"/>
        </w:rPr>
      </w:pPr>
    </w:p>
    <w:p w14:paraId="3F406240">
      <w:pPr>
        <w:pStyle w:val="56"/>
        <w:ind w:firstLine="408"/>
        <w:rPr>
          <w:rFonts w:hAnsi="宋体" w:cs="宋体"/>
          <w:spacing w:val="-3"/>
          <w:szCs w:val="21"/>
        </w:rPr>
      </w:pPr>
    </w:p>
    <w:p w14:paraId="7DF8EC46">
      <w:pPr>
        <w:pStyle w:val="56"/>
        <w:ind w:firstLine="420"/>
      </w:pPr>
    </w:p>
    <w:p w14:paraId="2E0CBC51">
      <w:pPr>
        <w:pStyle w:val="56"/>
        <w:ind w:firstLine="420"/>
      </w:pPr>
    </w:p>
    <w:p w14:paraId="5F8E6C2B">
      <w:pPr>
        <w:pStyle w:val="56"/>
        <w:ind w:firstLine="420"/>
      </w:pPr>
    </w:p>
    <w:bookmarkEnd w:id="78"/>
    <w:p w14:paraId="5B36C0B3">
      <w:pPr>
        <w:pStyle w:val="56"/>
        <w:ind w:firstLine="0" w:firstLineChars="0"/>
        <w:jc w:val="center"/>
      </w:pPr>
      <w:bookmarkStart w:id="88" w:name="BookMark8"/>
      <w:r>
        <w:rPr>
          <w:rFonts w:hint="eastAsia"/>
        </w:rPr>
        <w:drawing>
          <wp:inline distT="0" distB="0" distL="0" distR="0">
            <wp:extent cx="1485900" cy="317500"/>
            <wp:effectExtent l="0" t="0" r="0" b="6350"/>
            <wp:docPr id="12" name="图片 12"/>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8"/>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Yu Gothic Light">
    <w:panose1 w:val="020B0300000000000000"/>
    <w:charset w:val="80"/>
    <w:family w:val="auto"/>
    <w:pitch w:val="default"/>
    <w:sig w:usb0="E00002FF" w:usb1="2AC7FDFF" w:usb2="00000016" w:usb3="00000000" w:csb0="200200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F99F7">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DBB6E">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DCBA7">
    <w:pPr>
      <w:pStyle w:val="52"/>
    </w:pPr>
    <w:r>
      <w:fldChar w:fldCharType="begin"/>
    </w:r>
    <w:r>
      <w:instrText xml:space="preserve">PAGE   \* MERGEFORMAT</w:instrText>
    </w:r>
    <w:r>
      <w:fldChar w:fldCharType="separate"/>
    </w:r>
    <w:r>
      <w:rPr>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AD7E7">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A7B5D">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4A6AC">
    <w:pPr>
      <w:pStyle w:val="61"/>
    </w:pPr>
    <w:r>
      <w:fldChar w:fldCharType="begin"/>
    </w:r>
    <w:r>
      <w:instrText xml:space="preserve"> STYLEREF  标准文件_文件编号  \* MERGEFORMAT </w:instrText>
    </w:r>
    <w:r>
      <w:fldChar w:fldCharType="separate"/>
    </w:r>
    <w:r>
      <w:t>DB XX/T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A7EDD">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C10445A"/>
    <w:multiLevelType w:val="multilevel"/>
    <w:tmpl w:val="1C10445A"/>
    <w:lvl w:ilvl="0" w:tentative="0">
      <w:start w:val="10"/>
      <w:numFmt w:val="decimal"/>
      <w:lvlText w:val="%1"/>
      <w:lvlJc w:val="left"/>
      <w:pPr>
        <w:ind w:left="360" w:hanging="360"/>
      </w:pPr>
      <w:rPr>
        <w:rFonts w:hint="default"/>
      </w:rPr>
    </w:lvl>
    <w:lvl w:ilvl="1" w:tentative="0">
      <w:start w:val="1"/>
      <w:numFmt w:val="decimal"/>
      <w:isLgl/>
      <w:lvlText w:val="%1.%2"/>
      <w:lvlJc w:val="left"/>
      <w:pPr>
        <w:ind w:left="528" w:hanging="528"/>
      </w:pPr>
      <w:rPr>
        <w:rFonts w:hint="default" w:hAnsi="Times New Roman" w:cs="Times New Roman"/>
      </w:rPr>
    </w:lvl>
    <w:lvl w:ilvl="2" w:tentative="0">
      <w:start w:val="1"/>
      <w:numFmt w:val="decimal"/>
      <w:isLgl/>
      <w:lvlText w:val="%1.%2.%3"/>
      <w:lvlJc w:val="left"/>
      <w:pPr>
        <w:ind w:left="720" w:hanging="720"/>
      </w:pPr>
      <w:rPr>
        <w:rFonts w:hint="default" w:hAnsi="Times New Roman" w:cs="Times New Roman"/>
      </w:rPr>
    </w:lvl>
    <w:lvl w:ilvl="3" w:tentative="0">
      <w:start w:val="1"/>
      <w:numFmt w:val="decimal"/>
      <w:isLgl/>
      <w:lvlText w:val="%1.%2.%3.%4"/>
      <w:lvlJc w:val="left"/>
      <w:pPr>
        <w:ind w:left="1080" w:hanging="1080"/>
      </w:pPr>
      <w:rPr>
        <w:rFonts w:hint="default" w:hAnsi="Times New Roman" w:cs="Times New Roman"/>
      </w:rPr>
    </w:lvl>
    <w:lvl w:ilvl="4" w:tentative="0">
      <w:start w:val="1"/>
      <w:numFmt w:val="decimal"/>
      <w:isLgl/>
      <w:lvlText w:val="%1.%2.%3.%4.%5"/>
      <w:lvlJc w:val="left"/>
      <w:pPr>
        <w:ind w:left="1080" w:hanging="1080"/>
      </w:pPr>
      <w:rPr>
        <w:rFonts w:hint="default" w:hAnsi="Times New Roman" w:cs="Times New Roman"/>
      </w:rPr>
    </w:lvl>
    <w:lvl w:ilvl="5" w:tentative="0">
      <w:start w:val="1"/>
      <w:numFmt w:val="decimal"/>
      <w:isLgl/>
      <w:lvlText w:val="%1.%2.%3.%4.%5.%6"/>
      <w:lvlJc w:val="left"/>
      <w:pPr>
        <w:ind w:left="1440" w:hanging="1440"/>
      </w:pPr>
      <w:rPr>
        <w:rFonts w:hint="default" w:hAnsi="Times New Roman" w:cs="Times New Roman"/>
      </w:rPr>
    </w:lvl>
    <w:lvl w:ilvl="6" w:tentative="0">
      <w:start w:val="1"/>
      <w:numFmt w:val="decimal"/>
      <w:isLgl/>
      <w:lvlText w:val="%1.%2.%3.%4.%5.%6.%7"/>
      <w:lvlJc w:val="left"/>
      <w:pPr>
        <w:ind w:left="1440" w:hanging="1440"/>
      </w:pPr>
      <w:rPr>
        <w:rFonts w:hint="default" w:hAnsi="Times New Roman" w:cs="Times New Roman"/>
      </w:rPr>
    </w:lvl>
    <w:lvl w:ilvl="7" w:tentative="0">
      <w:start w:val="1"/>
      <w:numFmt w:val="decimal"/>
      <w:isLgl/>
      <w:lvlText w:val="%1.%2.%3.%4.%5.%6.%7.%8"/>
      <w:lvlJc w:val="left"/>
      <w:pPr>
        <w:ind w:left="1800" w:hanging="1800"/>
      </w:pPr>
      <w:rPr>
        <w:rFonts w:hint="default" w:hAnsi="Times New Roman" w:cs="Times New Roman"/>
      </w:rPr>
    </w:lvl>
    <w:lvl w:ilvl="8" w:tentative="0">
      <w:start w:val="1"/>
      <w:numFmt w:val="decimal"/>
      <w:isLgl/>
      <w:lvlText w:val="%1.%2.%3.%4.%5.%6.%7.%8.%9"/>
      <w:lvlJc w:val="left"/>
      <w:pPr>
        <w:ind w:left="1800" w:hanging="1800"/>
      </w:pPr>
      <w:rPr>
        <w:rFonts w:hint="default" w:hAnsi="Times New Roman" w:cs="Times New Roman"/>
      </w:r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lang w:val="en-US"/>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354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10"/>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1" w:cryptProviderType="rsaAES" w:cryptAlgorithmClass="hash" w:cryptAlgorithmType="typeAny" w:cryptAlgorithmSid="14" w:cryptSpinCount="100000" w:hash="Y27W7XrTeoIJ7QGl96zSUhYpZ4HEm5NLKJIkEY9bsW4lopsVq/US6on3b7dmDRcyMruTzKWQA3hnmCa0Fk9rjw==" w:salt="+82U203PE8CnrikmHsnTGQ=="/>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2YmQxOTQzYzFlMDNkMmFhOTZmOTEyYmFiNDM0MzEifQ=="/>
  </w:docVars>
  <w:rsids>
    <w:rsidRoot w:val="00C1020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BD8"/>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5C3"/>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6A82"/>
    <w:rsid w:val="001C7FEA"/>
    <w:rsid w:val="001D0499"/>
    <w:rsid w:val="001D0BBE"/>
    <w:rsid w:val="001D0ED4"/>
    <w:rsid w:val="001D212F"/>
    <w:rsid w:val="001D29D7"/>
    <w:rsid w:val="001D2DE7"/>
    <w:rsid w:val="001D411C"/>
    <w:rsid w:val="001E07B3"/>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8AE"/>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6009"/>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55B9"/>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B0D"/>
    <w:rsid w:val="00302F5F"/>
    <w:rsid w:val="0030441D"/>
    <w:rsid w:val="00306063"/>
    <w:rsid w:val="00313B85"/>
    <w:rsid w:val="00317988"/>
    <w:rsid w:val="003221B4"/>
    <w:rsid w:val="0032258D"/>
    <w:rsid w:val="00322E62"/>
    <w:rsid w:val="00324D13"/>
    <w:rsid w:val="00324D2A"/>
    <w:rsid w:val="00324EDD"/>
    <w:rsid w:val="00331715"/>
    <w:rsid w:val="003331E4"/>
    <w:rsid w:val="00336C64"/>
    <w:rsid w:val="00337162"/>
    <w:rsid w:val="0034194F"/>
    <w:rsid w:val="00344605"/>
    <w:rsid w:val="00345208"/>
    <w:rsid w:val="003474AA"/>
    <w:rsid w:val="00350D1D"/>
    <w:rsid w:val="00352C83"/>
    <w:rsid w:val="003615D2"/>
    <w:rsid w:val="003630DE"/>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5DC"/>
    <w:rsid w:val="00390EE6"/>
    <w:rsid w:val="0039118F"/>
    <w:rsid w:val="00392AD7"/>
    <w:rsid w:val="003938D9"/>
    <w:rsid w:val="00394376"/>
    <w:rsid w:val="003943FF"/>
    <w:rsid w:val="00395700"/>
    <w:rsid w:val="003974EB"/>
    <w:rsid w:val="00397CC5"/>
    <w:rsid w:val="003A00A8"/>
    <w:rsid w:val="003A1582"/>
    <w:rsid w:val="003A4077"/>
    <w:rsid w:val="003B09AD"/>
    <w:rsid w:val="003B1545"/>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176CF"/>
    <w:rsid w:val="00430430"/>
    <w:rsid w:val="00432DAA"/>
    <w:rsid w:val="00434305"/>
    <w:rsid w:val="00435DF7"/>
    <w:rsid w:val="0043635D"/>
    <w:rsid w:val="0044083F"/>
    <w:rsid w:val="00441AE7"/>
    <w:rsid w:val="00445574"/>
    <w:rsid w:val="004467FB"/>
    <w:rsid w:val="00452D6B"/>
    <w:rsid w:val="00454484"/>
    <w:rsid w:val="0045517B"/>
    <w:rsid w:val="00462CBA"/>
    <w:rsid w:val="00463B77"/>
    <w:rsid w:val="00463C7B"/>
    <w:rsid w:val="004644A6"/>
    <w:rsid w:val="004659BD"/>
    <w:rsid w:val="00466753"/>
    <w:rsid w:val="00470775"/>
    <w:rsid w:val="004746B1"/>
    <w:rsid w:val="0047583F"/>
    <w:rsid w:val="00475DE8"/>
    <w:rsid w:val="00481C44"/>
    <w:rsid w:val="00484936"/>
    <w:rsid w:val="00485C89"/>
    <w:rsid w:val="00486BE3"/>
    <w:rsid w:val="004905E4"/>
    <w:rsid w:val="00490A89"/>
    <w:rsid w:val="00490AB4"/>
    <w:rsid w:val="00492F02"/>
    <w:rsid w:val="004939AE"/>
    <w:rsid w:val="00497F48"/>
    <w:rsid w:val="004A12DF"/>
    <w:rsid w:val="004A17E6"/>
    <w:rsid w:val="004A1BA8"/>
    <w:rsid w:val="004A3454"/>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4F7547"/>
    <w:rsid w:val="00501139"/>
    <w:rsid w:val="0050363E"/>
    <w:rsid w:val="005039BC"/>
    <w:rsid w:val="0050438F"/>
    <w:rsid w:val="005043BB"/>
    <w:rsid w:val="00504A3D"/>
    <w:rsid w:val="00505767"/>
    <w:rsid w:val="005073F0"/>
    <w:rsid w:val="00510A7B"/>
    <w:rsid w:val="00512F6E"/>
    <w:rsid w:val="00513038"/>
    <w:rsid w:val="00514174"/>
    <w:rsid w:val="00516088"/>
    <w:rsid w:val="00516B0B"/>
    <w:rsid w:val="005220EC"/>
    <w:rsid w:val="00523F95"/>
    <w:rsid w:val="005246DD"/>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1A6"/>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241B"/>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3AC5"/>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2E7E"/>
    <w:rsid w:val="00653FED"/>
    <w:rsid w:val="00654EC0"/>
    <w:rsid w:val="0065525B"/>
    <w:rsid w:val="00655D4F"/>
    <w:rsid w:val="00656A9D"/>
    <w:rsid w:val="00656D29"/>
    <w:rsid w:val="006640E5"/>
    <w:rsid w:val="006641FA"/>
    <w:rsid w:val="006646F1"/>
    <w:rsid w:val="00664929"/>
    <w:rsid w:val="00664F62"/>
    <w:rsid w:val="00665490"/>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0E18"/>
    <w:rsid w:val="006E23EA"/>
    <w:rsid w:val="006F03A8"/>
    <w:rsid w:val="006F2ACA"/>
    <w:rsid w:val="006F2ADC"/>
    <w:rsid w:val="006F2BFE"/>
    <w:rsid w:val="006F31E9"/>
    <w:rsid w:val="006F6284"/>
    <w:rsid w:val="007002C5"/>
    <w:rsid w:val="00704387"/>
    <w:rsid w:val="00707669"/>
    <w:rsid w:val="0071067D"/>
    <w:rsid w:val="00711CBA"/>
    <w:rsid w:val="00711FB5"/>
    <w:rsid w:val="00712A01"/>
    <w:rsid w:val="00714F58"/>
    <w:rsid w:val="00720776"/>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430"/>
    <w:rsid w:val="00756B26"/>
    <w:rsid w:val="00756EDF"/>
    <w:rsid w:val="007600E3"/>
    <w:rsid w:val="00765C43"/>
    <w:rsid w:val="00765EFB"/>
    <w:rsid w:val="007671CA"/>
    <w:rsid w:val="00767C61"/>
    <w:rsid w:val="0077008A"/>
    <w:rsid w:val="00773C1F"/>
    <w:rsid w:val="00774DA4"/>
    <w:rsid w:val="00775487"/>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3A9"/>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7F7996"/>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0A83"/>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33D"/>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56D"/>
    <w:rsid w:val="008D0CE8"/>
    <w:rsid w:val="008D228E"/>
    <w:rsid w:val="008D2D1D"/>
    <w:rsid w:val="008D453D"/>
    <w:rsid w:val="008D53AD"/>
    <w:rsid w:val="008D562B"/>
    <w:rsid w:val="008D5733"/>
    <w:rsid w:val="008D622B"/>
    <w:rsid w:val="008D666C"/>
    <w:rsid w:val="008D7B54"/>
    <w:rsid w:val="008E0C9D"/>
    <w:rsid w:val="008E1648"/>
    <w:rsid w:val="008E1B3E"/>
    <w:rsid w:val="008E2319"/>
    <w:rsid w:val="008E44AE"/>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8AC"/>
    <w:rsid w:val="009809BB"/>
    <w:rsid w:val="0098364B"/>
    <w:rsid w:val="009911AF"/>
    <w:rsid w:val="00991875"/>
    <w:rsid w:val="00991F92"/>
    <w:rsid w:val="00992985"/>
    <w:rsid w:val="00993889"/>
    <w:rsid w:val="0099551B"/>
    <w:rsid w:val="00997BF1"/>
    <w:rsid w:val="009A089C"/>
    <w:rsid w:val="009A118E"/>
    <w:rsid w:val="009A1A9B"/>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0E7"/>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0B01"/>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0FA"/>
    <w:rsid w:val="00AC3A5A"/>
    <w:rsid w:val="00AC4D95"/>
    <w:rsid w:val="00AC5DF4"/>
    <w:rsid w:val="00AD0AEF"/>
    <w:rsid w:val="00AD11B7"/>
    <w:rsid w:val="00AD1A94"/>
    <w:rsid w:val="00AD1C05"/>
    <w:rsid w:val="00AD4126"/>
    <w:rsid w:val="00AD421C"/>
    <w:rsid w:val="00AD44FA"/>
    <w:rsid w:val="00AD5479"/>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4C51"/>
    <w:rsid w:val="00B156FD"/>
    <w:rsid w:val="00B21F61"/>
    <w:rsid w:val="00B241EB"/>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4B7C"/>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206"/>
    <w:rsid w:val="00C103E5"/>
    <w:rsid w:val="00C13319"/>
    <w:rsid w:val="00C13EE9"/>
    <w:rsid w:val="00C212B0"/>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5BAA"/>
    <w:rsid w:val="00C71372"/>
    <w:rsid w:val="00C72410"/>
    <w:rsid w:val="00C7287F"/>
    <w:rsid w:val="00C80CB8"/>
    <w:rsid w:val="00C819F8"/>
    <w:rsid w:val="00C8248C"/>
    <w:rsid w:val="00C84E33"/>
    <w:rsid w:val="00C85965"/>
    <w:rsid w:val="00C86D6F"/>
    <w:rsid w:val="00C905FC"/>
    <w:rsid w:val="00C92D03"/>
    <w:rsid w:val="00C9319C"/>
    <w:rsid w:val="00C936B5"/>
    <w:rsid w:val="00C9435D"/>
    <w:rsid w:val="00C94DF2"/>
    <w:rsid w:val="00C96741"/>
    <w:rsid w:val="00CA2D1B"/>
    <w:rsid w:val="00CA375D"/>
    <w:rsid w:val="00CA662A"/>
    <w:rsid w:val="00CA7520"/>
    <w:rsid w:val="00CA7AFD"/>
    <w:rsid w:val="00CA7C3C"/>
    <w:rsid w:val="00CB0189"/>
    <w:rsid w:val="00CB0BA2"/>
    <w:rsid w:val="00CB1A42"/>
    <w:rsid w:val="00CB1B0C"/>
    <w:rsid w:val="00CB2C0B"/>
    <w:rsid w:val="00CB517D"/>
    <w:rsid w:val="00CC038D"/>
    <w:rsid w:val="00CC08DB"/>
    <w:rsid w:val="00CC39FF"/>
    <w:rsid w:val="00CC3C2F"/>
    <w:rsid w:val="00CC45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67C38"/>
    <w:rsid w:val="00D71F25"/>
    <w:rsid w:val="00D72A9C"/>
    <w:rsid w:val="00D74169"/>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16CA4"/>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57509"/>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0DB8"/>
    <w:rsid w:val="00ED2B50"/>
    <w:rsid w:val="00ED7A58"/>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077B"/>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41C6"/>
    <w:rsid w:val="00F95248"/>
    <w:rsid w:val="00F956A9"/>
    <w:rsid w:val="00F963ED"/>
    <w:rsid w:val="00F966CF"/>
    <w:rsid w:val="00F96CAE"/>
    <w:rsid w:val="00F97C99"/>
    <w:rsid w:val="00FA1FFF"/>
    <w:rsid w:val="00FA4DAC"/>
    <w:rsid w:val="00FA662D"/>
    <w:rsid w:val="00FA73B1"/>
    <w:rsid w:val="00FB0CB9"/>
    <w:rsid w:val="00FB231D"/>
    <w:rsid w:val="00FB45F1"/>
    <w:rsid w:val="00FB4A72"/>
    <w:rsid w:val="00FB52D7"/>
    <w:rsid w:val="00FB54E8"/>
    <w:rsid w:val="00FB7054"/>
    <w:rsid w:val="00FC17B7"/>
    <w:rsid w:val="00FC2CB7"/>
    <w:rsid w:val="00FC4090"/>
    <w:rsid w:val="00FC55B4"/>
    <w:rsid w:val="00FD00E6"/>
    <w:rsid w:val="00FD09A1"/>
    <w:rsid w:val="00FD2A7C"/>
    <w:rsid w:val="00FD59EB"/>
    <w:rsid w:val="00FD723E"/>
    <w:rsid w:val="00FD7299"/>
    <w:rsid w:val="00FE1FBE"/>
    <w:rsid w:val="00FE3901"/>
    <w:rsid w:val="00FE39D3"/>
    <w:rsid w:val="00FE4BCE"/>
    <w:rsid w:val="00FE54AE"/>
    <w:rsid w:val="00FE576A"/>
    <w:rsid w:val="00FE7E79"/>
    <w:rsid w:val="00FF3E7D"/>
    <w:rsid w:val="00FF5B99"/>
    <w:rsid w:val="00FF730C"/>
    <w:rsid w:val="00FF73F4"/>
    <w:rsid w:val="00FF7CE4"/>
    <w:rsid w:val="00FF7E39"/>
    <w:rsid w:val="0C5E4948"/>
    <w:rsid w:val="141A61AE"/>
    <w:rsid w:val="195703FC"/>
    <w:rsid w:val="222C1B75"/>
    <w:rsid w:val="346223D3"/>
    <w:rsid w:val="50102D26"/>
    <w:rsid w:val="50CB1F14"/>
    <w:rsid w:val="65BB3B05"/>
    <w:rsid w:val="757F39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table" w:customStyle="1" w:styleId="230">
    <w:name w:val="Table Normal"/>
    <w:unhideWhenUsed/>
    <w:qFormat/>
    <w:uiPriority w:val="0"/>
    <w:rPr>
      <w:rFonts w:ascii="Arial" w:hAnsi="Arial" w:cs="Arial" w:eastAsiaTheme="minorEastAsia"/>
    </w:rPr>
    <w:tblPr>
      <w:tblCellMar>
        <w:top w:w="0" w:type="dxa"/>
        <w:left w:w="0" w:type="dxa"/>
        <w:bottom w:w="0" w:type="dxa"/>
        <w:right w:w="0" w:type="dxa"/>
      </w:tblCellMar>
    </w:tblPr>
  </w:style>
  <w:style w:type="paragraph" w:styleId="23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0.jpeg"/><Relationship Id="rId21" Type="http://schemas.openxmlformats.org/officeDocument/2006/relationships/image" Target="media/image9.png"/><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media/image6.png"/><Relationship Id="rId17" Type="http://schemas.openxmlformats.org/officeDocument/2006/relationships/image" Target="media/image5.png"/><Relationship Id="rId16" Type="http://schemas.openxmlformats.org/officeDocument/2006/relationships/image" Target="media/image4.png"/><Relationship Id="rId15" Type="http://schemas.openxmlformats.org/officeDocument/2006/relationships/image" Target="media/image3.jpeg"/><Relationship Id="rId14" Type="http://schemas.openxmlformats.org/officeDocument/2006/relationships/image" Target="media/image2.pn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B5E7471D1CF4FB7BE90A4BF21876C30"/>
        <w:style w:val=""/>
        <w:category>
          <w:name w:val="常规"/>
          <w:gallery w:val="placeholder"/>
        </w:category>
        <w:types>
          <w:type w:val="bbPlcHdr"/>
        </w:types>
        <w:behaviors>
          <w:behavior w:val="content"/>
        </w:behaviors>
        <w:description w:val=""/>
        <w:guid w:val="{97F982FA-3562-4EF5-8BFA-58B47F12A2BF}"/>
      </w:docPartPr>
      <w:docPartBody>
        <w:p w14:paraId="55A67E2B">
          <w:pPr>
            <w:pStyle w:val="5"/>
          </w:pPr>
          <w:r>
            <w:rPr>
              <w:rStyle w:val="4"/>
              <w:rFonts w:hint="eastAsia"/>
            </w:rPr>
            <w:t>单击或点击此处输入文字。</w:t>
          </w:r>
        </w:p>
      </w:docPartBody>
    </w:docPart>
    <w:docPart>
      <w:docPartPr>
        <w:name w:val="37640841900D453999E09113F3CE6296"/>
        <w:style w:val=""/>
        <w:category>
          <w:name w:val="常规"/>
          <w:gallery w:val="placeholder"/>
        </w:category>
        <w:types>
          <w:type w:val="bbPlcHdr"/>
        </w:types>
        <w:behaviors>
          <w:behavior w:val="content"/>
        </w:behaviors>
        <w:description w:val=""/>
        <w:guid w:val="{2E55D9D1-A971-4F35-A634-A8B6DA744D55}"/>
      </w:docPartPr>
      <w:docPartBody>
        <w:p w14:paraId="5ACD698F">
          <w:pPr>
            <w:pStyle w:val="6"/>
          </w:pPr>
          <w:r>
            <w:rPr>
              <w:rStyle w:val="4"/>
              <w:rFonts w:hint="eastAsia"/>
            </w:rPr>
            <w:t>选择一项。</w:t>
          </w:r>
        </w:p>
      </w:docPartBody>
    </w:docPart>
    <w:docPart>
      <w:docPartPr>
        <w:name w:val="FF2A582E64544FE485CBE5727255C42E"/>
        <w:style w:val=""/>
        <w:category>
          <w:name w:val="常规"/>
          <w:gallery w:val="placeholder"/>
        </w:category>
        <w:types>
          <w:type w:val="bbPlcHdr"/>
        </w:types>
        <w:behaviors>
          <w:behavior w:val="content"/>
        </w:behaviors>
        <w:description w:val=""/>
        <w:guid w:val="{0B72B143-A6F9-439F-B9DB-771B0C2D96C6}"/>
      </w:docPartPr>
      <w:docPartBody>
        <w:p w14:paraId="7CA9A907">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46E"/>
    <w:rsid w:val="0016316E"/>
    <w:rsid w:val="00793A05"/>
    <w:rsid w:val="007F4633"/>
    <w:rsid w:val="00B0246E"/>
    <w:rsid w:val="00B16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FB5E7471D1CF4FB7BE90A4BF21876C3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7640841900D453999E09113F3CE629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F2A582E64544FE485CBE5727255C42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886FC6-6E98-4C20-BA3A-9B6317F121C7}">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16</Pages>
  <Words>6701</Words>
  <Characters>7550</Characters>
  <Lines>77</Lines>
  <Paragraphs>21</Paragraphs>
  <TotalTime>15</TotalTime>
  <ScaleCrop>false</ScaleCrop>
  <LinksUpToDate>false</LinksUpToDate>
  <CharactersWithSpaces>7942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2024-10-14T00:13:00Z</dcterms:created>
  <dc:creator>Windows 用户</dc:creator>
  <dc:description>&lt;config cover="true" show_menu="true" version="1.0.0" doctype="SDKXY"&gt;_x000d_
&lt;/config&gt;</dc:description>
  <cp:lastModifiedBy>刘尧波</cp:lastModifiedBy>
  <cp:lastPrinted>2024-10-25T08:15:00Z</cp:lastPrinted>
  <dcterms:modified xsi:type="dcterms:W3CDTF">2024-10-30T08:08:21Z</dcterms:modified>
  <dc:title>地方标准</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ADECEDE4F6344B6BBD410A99CDA720A9_13</vt:lpwstr>
  </property>
</Properties>
</file>